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C1C57F" w14:textId="7939D1AE" w:rsidR="005F1614" w:rsidRPr="00047EC6" w:rsidRDefault="00767404" w:rsidP="000C3E2D">
      <w:pPr>
        <w:suppressLineNumbers/>
        <w:jc w:val="center"/>
        <w:rPr>
          <w:b/>
          <w:bCs/>
          <w:color w:val="0070C0"/>
          <w:sz w:val="28"/>
          <w:szCs w:val="28"/>
        </w:rPr>
      </w:pPr>
      <w:bookmarkStart w:id="0" w:name="_Hlk155339052"/>
      <w:bookmarkEnd w:id="0"/>
      <w:r w:rsidRPr="00047EC6">
        <w:rPr>
          <w:b/>
          <w:bCs/>
          <w:color w:val="0070C0"/>
          <w:sz w:val="28"/>
          <w:szCs w:val="28"/>
        </w:rPr>
        <w:t>PLATTE RIVER RECOVERY IMPLEMENTATION PROGRAM (PRRIP -or- Program)</w:t>
      </w:r>
    </w:p>
    <w:p w14:paraId="10C1A078" w14:textId="21CC075F" w:rsidR="00767404" w:rsidRDefault="00047EC6" w:rsidP="000C3E2D">
      <w:pPr>
        <w:pStyle w:val="Heading1"/>
        <w:suppressLineNumbers/>
        <w:jc w:val="center"/>
      </w:pPr>
      <w:bookmarkStart w:id="1" w:name="_Toc155880528"/>
      <w:bookmarkStart w:id="2" w:name="_Toc157060181"/>
      <w:r w:rsidRPr="00047EC6">
        <w:t xml:space="preserve">2024 </w:t>
      </w:r>
      <w:r w:rsidR="00767404" w:rsidRPr="00047EC6">
        <w:t>PRRIP State of the Platt</w:t>
      </w:r>
      <w:r w:rsidRPr="00047EC6">
        <w:t>e</w:t>
      </w:r>
      <w:bookmarkEnd w:id="1"/>
      <w:bookmarkEnd w:id="2"/>
      <w:r w:rsidR="000054EE">
        <w:t xml:space="preserve"> Report (</w:t>
      </w:r>
      <w:proofErr w:type="spellStart"/>
      <w:r w:rsidR="000054EE">
        <w:t>SoPR</w:t>
      </w:r>
      <w:proofErr w:type="spellEnd"/>
      <w:r w:rsidR="000054EE">
        <w:t>)</w:t>
      </w:r>
    </w:p>
    <w:p w14:paraId="74A4903D" w14:textId="27C6AACD" w:rsidR="00064AFB" w:rsidRPr="00064AFB" w:rsidRDefault="00865B51" w:rsidP="000C3E2D">
      <w:pPr>
        <w:suppressLineNumbers/>
        <w:jc w:val="center"/>
        <w:rPr>
          <w:b/>
          <w:bCs/>
          <w:color w:val="FF0000"/>
          <w:sz w:val="28"/>
          <w:szCs w:val="28"/>
        </w:rPr>
      </w:pPr>
      <w:r>
        <w:rPr>
          <w:b/>
          <w:bCs/>
          <w:color w:val="FF0000"/>
          <w:sz w:val="28"/>
          <w:szCs w:val="28"/>
        </w:rPr>
        <w:t xml:space="preserve">REVIEW </w:t>
      </w:r>
      <w:r w:rsidR="00064AFB" w:rsidRPr="00064AFB">
        <w:rPr>
          <w:b/>
          <w:bCs/>
          <w:color w:val="FF0000"/>
          <w:sz w:val="28"/>
          <w:szCs w:val="28"/>
        </w:rPr>
        <w:t xml:space="preserve">DRAFT as of </w:t>
      </w:r>
      <w:r w:rsidR="00D65DE8">
        <w:rPr>
          <w:b/>
          <w:bCs/>
          <w:color w:val="FF0000"/>
          <w:sz w:val="28"/>
          <w:szCs w:val="28"/>
        </w:rPr>
        <w:t>February 2, 2024</w:t>
      </w:r>
    </w:p>
    <w:p w14:paraId="32F7B0E3" w14:textId="77777777" w:rsidR="00047EC6" w:rsidRDefault="00047EC6" w:rsidP="000C3E2D">
      <w:pPr>
        <w:suppressLineNumbers/>
      </w:pPr>
    </w:p>
    <w:p w14:paraId="4EBD2578" w14:textId="123859D1" w:rsidR="001F184C" w:rsidRPr="00064AFB" w:rsidRDefault="007B598C" w:rsidP="000C3E2D">
      <w:pPr>
        <w:suppressLineNumbers/>
        <w:rPr>
          <w:b/>
          <w:bCs/>
          <w:sz w:val="28"/>
          <w:szCs w:val="28"/>
        </w:rPr>
      </w:pPr>
      <w:r w:rsidRPr="00064AFB">
        <w:rPr>
          <w:b/>
          <w:bCs/>
          <w:color w:val="0070C0"/>
          <w:sz w:val="28"/>
          <w:szCs w:val="28"/>
        </w:rPr>
        <w:t xml:space="preserve">PRRIP </w:t>
      </w:r>
      <w:r w:rsidR="001F184C" w:rsidRPr="00064AFB">
        <w:rPr>
          <w:b/>
          <w:bCs/>
          <w:color w:val="0070C0"/>
          <w:sz w:val="28"/>
          <w:szCs w:val="28"/>
        </w:rPr>
        <w:t xml:space="preserve">Science Plan </w:t>
      </w:r>
      <w:r w:rsidRPr="00064AFB">
        <w:rPr>
          <w:b/>
          <w:bCs/>
          <w:color w:val="0070C0"/>
          <w:sz w:val="28"/>
          <w:szCs w:val="28"/>
        </w:rPr>
        <w:t xml:space="preserve">Extension </w:t>
      </w:r>
      <w:r w:rsidR="001F184C" w:rsidRPr="00064AFB">
        <w:rPr>
          <w:b/>
          <w:bCs/>
          <w:color w:val="0070C0"/>
          <w:sz w:val="28"/>
          <w:szCs w:val="28"/>
        </w:rPr>
        <w:t>Big Question</w:t>
      </w:r>
      <w:r w:rsidR="00F779E2" w:rsidRPr="00064AFB">
        <w:rPr>
          <w:b/>
          <w:bCs/>
          <w:color w:val="0070C0"/>
          <w:sz w:val="28"/>
          <w:szCs w:val="28"/>
        </w:rPr>
        <w:t xml:space="preserve"> (EBQ)</w:t>
      </w:r>
      <w:r w:rsidR="001F184C" w:rsidRPr="00064AFB">
        <w:rPr>
          <w:b/>
          <w:bCs/>
          <w:color w:val="0070C0"/>
          <w:sz w:val="28"/>
          <w:szCs w:val="28"/>
        </w:rPr>
        <w:t xml:space="preserve"> Assessments</w:t>
      </w:r>
      <w:r w:rsidR="00997290" w:rsidRPr="00064AFB">
        <w:rPr>
          <w:b/>
          <w:bCs/>
          <w:color w:val="0070C0"/>
          <w:sz w:val="28"/>
          <w:szCs w:val="28"/>
        </w:rPr>
        <w:t>*</w:t>
      </w:r>
    </w:p>
    <w:p w14:paraId="5C4FEF78" w14:textId="088C6B9E" w:rsidR="000615CE" w:rsidRPr="00064AFB" w:rsidRDefault="00997290" w:rsidP="000C3E2D">
      <w:pPr>
        <w:suppressLineNumbers/>
        <w:rPr>
          <w:sz w:val="24"/>
          <w:szCs w:val="24"/>
        </w:rPr>
      </w:pPr>
      <w:r w:rsidRPr="00064AFB">
        <w:rPr>
          <w:sz w:val="24"/>
          <w:szCs w:val="24"/>
        </w:rPr>
        <w:t>*</w:t>
      </w:r>
      <w:r w:rsidR="008E6B45" w:rsidRPr="00064AFB">
        <w:rPr>
          <w:sz w:val="24"/>
          <w:szCs w:val="24"/>
        </w:rPr>
        <w:t>As of the conclusion of calendar year 2023 (u</w:t>
      </w:r>
      <w:r w:rsidRPr="00064AFB">
        <w:rPr>
          <w:sz w:val="24"/>
          <w:szCs w:val="24"/>
        </w:rPr>
        <w:t xml:space="preserve">pdated with </w:t>
      </w:r>
      <w:r w:rsidR="000615CE" w:rsidRPr="00064AFB">
        <w:rPr>
          <w:sz w:val="24"/>
          <w:szCs w:val="24"/>
        </w:rPr>
        <w:t>2023 data</w:t>
      </w:r>
      <w:r w:rsidR="008E6B45" w:rsidRPr="00064AFB">
        <w:rPr>
          <w:sz w:val="24"/>
          <w:szCs w:val="24"/>
        </w:rPr>
        <w:t xml:space="preserve"> </w:t>
      </w:r>
      <w:r w:rsidR="005D6D9C" w:rsidRPr="00064AFB">
        <w:rPr>
          <w:sz w:val="24"/>
          <w:szCs w:val="24"/>
        </w:rPr>
        <w:t>if available</w:t>
      </w:r>
      <w:r w:rsidR="00394345">
        <w:rPr>
          <w:sz w:val="24"/>
          <w:szCs w:val="24"/>
        </w:rPr>
        <w:t>)</w:t>
      </w:r>
    </w:p>
    <w:p w14:paraId="360C5CB3" w14:textId="77777777" w:rsidR="000615CE" w:rsidRPr="00064AFB" w:rsidRDefault="000615CE" w:rsidP="000C3E2D">
      <w:pPr>
        <w:suppressLineNumbers/>
        <w:rPr>
          <w:sz w:val="28"/>
          <w:szCs w:val="28"/>
        </w:rPr>
      </w:pPr>
    </w:p>
    <w:p w14:paraId="1444C84D" w14:textId="639BA1D4" w:rsidR="005732C2" w:rsidRPr="00064AFB" w:rsidRDefault="005732C2" w:rsidP="000C3E2D">
      <w:pPr>
        <w:suppressLineNumbers/>
        <w:rPr>
          <w:b/>
          <w:bCs/>
          <w:sz w:val="24"/>
          <w:szCs w:val="24"/>
        </w:rPr>
      </w:pPr>
      <w:r w:rsidRPr="00064AFB">
        <w:rPr>
          <w:b/>
          <w:bCs/>
          <w:sz w:val="24"/>
          <w:szCs w:val="24"/>
        </w:rPr>
        <w:t>Prepared by the PRRIP Executive Director’s Office (EDO)</w:t>
      </w:r>
    </w:p>
    <w:p w14:paraId="0D783C09" w14:textId="1B23227C" w:rsidR="005732C2" w:rsidRPr="00064AFB" w:rsidRDefault="005732C2" w:rsidP="000C3E2D">
      <w:pPr>
        <w:suppressLineNumbers/>
        <w:rPr>
          <w:sz w:val="24"/>
          <w:szCs w:val="24"/>
        </w:rPr>
      </w:pPr>
      <w:r w:rsidRPr="00064AFB">
        <w:rPr>
          <w:sz w:val="24"/>
          <w:szCs w:val="24"/>
        </w:rPr>
        <w:t>4111 4th Avenue, Suite 6</w:t>
      </w:r>
    </w:p>
    <w:p w14:paraId="14506234" w14:textId="4A007F19" w:rsidR="007E4B7E" w:rsidRPr="00064AFB" w:rsidRDefault="005732C2" w:rsidP="000C3E2D">
      <w:pPr>
        <w:suppressLineNumbers/>
        <w:rPr>
          <w:sz w:val="24"/>
          <w:szCs w:val="24"/>
        </w:rPr>
      </w:pPr>
      <w:r w:rsidRPr="00064AFB">
        <w:rPr>
          <w:sz w:val="24"/>
          <w:szCs w:val="24"/>
        </w:rPr>
        <w:t>Kearney, NE 68845</w:t>
      </w:r>
    </w:p>
    <w:p w14:paraId="068B9EE9" w14:textId="5A51BA1A" w:rsidR="007E4B7E" w:rsidRDefault="008726A0" w:rsidP="000C3E2D">
      <w:pPr>
        <w:suppressLineNumbers/>
        <w:tabs>
          <w:tab w:val="left" w:pos="2568"/>
        </w:tabs>
      </w:pPr>
      <w:r>
        <w:tab/>
      </w:r>
    </w:p>
    <w:p w14:paraId="2AC8FAB5" w14:textId="726C0974" w:rsidR="007E4B7E" w:rsidRPr="00F25EAE" w:rsidRDefault="007A68D0" w:rsidP="000C3E2D">
      <w:pPr>
        <w:suppressLineNumbers/>
        <w:jc w:val="center"/>
        <w:rPr>
          <w:b/>
          <w:bCs/>
        </w:rPr>
      </w:pPr>
      <w:r w:rsidRPr="003B1325">
        <w:rPr>
          <w:noProof/>
        </w:rPr>
        <w:drawing>
          <wp:anchor distT="0" distB="0" distL="114300" distR="114300" simplePos="0" relativeHeight="251724800" behindDoc="1" locked="0" layoutInCell="1" allowOverlap="1" wp14:anchorId="5EA8E12C" wp14:editId="15D8E780">
            <wp:simplePos x="0" y="0"/>
            <wp:positionH relativeFrom="column">
              <wp:posOffset>0</wp:posOffset>
            </wp:positionH>
            <wp:positionV relativeFrom="paragraph">
              <wp:posOffset>2385060</wp:posOffset>
            </wp:positionV>
            <wp:extent cx="1021080" cy="1265555"/>
            <wp:effectExtent l="0" t="0" r="7620" b="0"/>
            <wp:wrapTight wrapText="bothSides">
              <wp:wrapPolygon edited="0">
                <wp:start x="0" y="0"/>
                <wp:lineTo x="0" y="21134"/>
                <wp:lineTo x="21358" y="21134"/>
                <wp:lineTo x="21358" y="0"/>
                <wp:lineTo x="0" y="0"/>
              </wp:wrapPolygon>
            </wp:wrapTight>
            <wp:docPr id="204154242" name="Picture 1" descr="A water with grass growing i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4242" name="Picture 1" descr="A water with grass growing in it&#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21080" cy="1265555"/>
                    </a:xfrm>
                    <a:prstGeom prst="rect">
                      <a:avLst/>
                    </a:prstGeom>
                  </pic:spPr>
                </pic:pic>
              </a:graphicData>
            </a:graphic>
            <wp14:sizeRelH relativeFrom="margin">
              <wp14:pctWidth>0</wp14:pctWidth>
            </wp14:sizeRelH>
            <wp14:sizeRelV relativeFrom="margin">
              <wp14:pctHeight>0</wp14:pctHeight>
            </wp14:sizeRelV>
          </wp:anchor>
        </w:drawing>
      </w:r>
      <w:r w:rsidRPr="00B151DF">
        <w:rPr>
          <w:noProof/>
        </w:rPr>
        <w:drawing>
          <wp:anchor distT="0" distB="0" distL="114300" distR="114300" simplePos="0" relativeHeight="251726848" behindDoc="1" locked="0" layoutInCell="1" allowOverlap="1" wp14:anchorId="39779FD3" wp14:editId="170AB7E4">
            <wp:simplePos x="0" y="0"/>
            <wp:positionH relativeFrom="column">
              <wp:posOffset>3350895</wp:posOffset>
            </wp:positionH>
            <wp:positionV relativeFrom="paragraph">
              <wp:posOffset>2388870</wp:posOffset>
            </wp:positionV>
            <wp:extent cx="2590800" cy="1265555"/>
            <wp:effectExtent l="0" t="0" r="0" b="0"/>
            <wp:wrapTight wrapText="bothSides">
              <wp:wrapPolygon edited="0">
                <wp:start x="0" y="0"/>
                <wp:lineTo x="0" y="21134"/>
                <wp:lineTo x="21441" y="21134"/>
                <wp:lineTo x="21441" y="0"/>
                <wp:lineTo x="0" y="0"/>
              </wp:wrapPolygon>
            </wp:wrapTight>
            <wp:docPr id="1115428947" name="Picture 1" descr="Birds o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28947" name="Picture 1" descr="Birds on the 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90800" cy="1265555"/>
                    </a:xfrm>
                    <a:prstGeom prst="rect">
                      <a:avLst/>
                    </a:prstGeom>
                  </pic:spPr>
                </pic:pic>
              </a:graphicData>
            </a:graphic>
            <wp14:sizeRelH relativeFrom="margin">
              <wp14:pctWidth>0</wp14:pctWidth>
            </wp14:sizeRelH>
            <wp14:sizeRelV relativeFrom="margin">
              <wp14:pctHeight>0</wp14:pctHeight>
            </wp14:sizeRelV>
          </wp:anchor>
        </w:drawing>
      </w:r>
      <w:r w:rsidRPr="003F0823">
        <w:rPr>
          <w:noProof/>
        </w:rPr>
        <w:drawing>
          <wp:anchor distT="0" distB="0" distL="114300" distR="114300" simplePos="0" relativeHeight="251723776" behindDoc="1" locked="0" layoutInCell="1" allowOverlap="1" wp14:anchorId="06011BFB" wp14:editId="28735934">
            <wp:simplePos x="0" y="0"/>
            <wp:positionH relativeFrom="column">
              <wp:posOffset>1257300</wp:posOffset>
            </wp:positionH>
            <wp:positionV relativeFrom="paragraph">
              <wp:posOffset>2386965</wp:posOffset>
            </wp:positionV>
            <wp:extent cx="1880235" cy="1265555"/>
            <wp:effectExtent l="0" t="0" r="5715" b="0"/>
            <wp:wrapTight wrapText="bothSides">
              <wp:wrapPolygon edited="0">
                <wp:start x="0" y="0"/>
                <wp:lineTo x="0" y="21134"/>
                <wp:lineTo x="21447" y="21134"/>
                <wp:lineTo x="21447" y="0"/>
                <wp:lineTo x="0" y="0"/>
              </wp:wrapPolygon>
            </wp:wrapTight>
            <wp:docPr id="1583375048" name="Picture 1" descr="A river running through a grassy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75048" name="Picture 1" descr="A river running through a grassy field&#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80235" cy="1265555"/>
                    </a:xfrm>
                    <a:prstGeom prst="rect">
                      <a:avLst/>
                    </a:prstGeom>
                  </pic:spPr>
                </pic:pic>
              </a:graphicData>
            </a:graphic>
            <wp14:sizeRelH relativeFrom="margin">
              <wp14:pctWidth>0</wp14:pctWidth>
            </wp14:sizeRelH>
            <wp14:sizeRelV relativeFrom="margin">
              <wp14:pctHeight>0</wp14:pctHeight>
            </wp14:sizeRelV>
          </wp:anchor>
        </w:drawing>
      </w:r>
      <w:r w:rsidR="008B1EC3" w:rsidRPr="008B1EC3">
        <w:rPr>
          <w:noProof/>
        </w:rPr>
        <w:drawing>
          <wp:inline distT="0" distB="0" distL="0" distR="0" wp14:anchorId="0F527CD6" wp14:editId="2E2F611B">
            <wp:extent cx="5943600" cy="2194560"/>
            <wp:effectExtent l="0" t="0" r="0" b="0"/>
            <wp:docPr id="748552490" name="Picture 1" descr="A river running through a sand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52490" name="Picture 1" descr="A river running through a sandy area&#10;&#10;Description automatically generated"/>
                    <pic:cNvPicPr/>
                  </pic:nvPicPr>
                  <pic:blipFill>
                    <a:blip r:embed="rId11"/>
                    <a:stretch>
                      <a:fillRect/>
                    </a:stretch>
                  </pic:blipFill>
                  <pic:spPr>
                    <a:xfrm>
                      <a:off x="0" y="0"/>
                      <a:ext cx="5943600" cy="2194560"/>
                    </a:xfrm>
                    <a:prstGeom prst="rect">
                      <a:avLst/>
                    </a:prstGeom>
                  </pic:spPr>
                </pic:pic>
              </a:graphicData>
            </a:graphic>
          </wp:inline>
        </w:drawing>
      </w:r>
    </w:p>
    <w:p w14:paraId="6CDBE0D4" w14:textId="35B3A35F" w:rsidR="00BD7DB4" w:rsidRDefault="000054EE" w:rsidP="000C3E2D">
      <w:pPr>
        <w:suppressLineNumbers/>
      </w:pPr>
      <w:r w:rsidRPr="00BD7DB4">
        <w:rPr>
          <w:noProof/>
        </w:rPr>
        <w:drawing>
          <wp:anchor distT="0" distB="0" distL="114300" distR="114300" simplePos="0" relativeHeight="251725824" behindDoc="1" locked="0" layoutInCell="1" allowOverlap="1" wp14:anchorId="798868C9" wp14:editId="3CEAE262">
            <wp:simplePos x="0" y="0"/>
            <wp:positionH relativeFrom="column">
              <wp:posOffset>0</wp:posOffset>
            </wp:positionH>
            <wp:positionV relativeFrom="paragraph">
              <wp:posOffset>1555296</wp:posOffset>
            </wp:positionV>
            <wp:extent cx="5941695" cy="1964872"/>
            <wp:effectExtent l="0" t="0" r="1905" b="0"/>
            <wp:wrapTight wrapText="bothSides">
              <wp:wrapPolygon edited="0">
                <wp:start x="0" y="0"/>
                <wp:lineTo x="0" y="21363"/>
                <wp:lineTo x="21538" y="21363"/>
                <wp:lineTo x="21538" y="0"/>
                <wp:lineTo x="0" y="0"/>
              </wp:wrapPolygon>
            </wp:wrapTight>
            <wp:docPr id="1473074925" name="Picture 1" descr="Birds on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74925" name="Picture 1" descr="Birds on a lak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1695" cy="1964872"/>
                    </a:xfrm>
                    <a:prstGeom prst="rect">
                      <a:avLst/>
                    </a:prstGeom>
                  </pic:spPr>
                </pic:pic>
              </a:graphicData>
            </a:graphic>
            <wp14:sizeRelH relativeFrom="margin">
              <wp14:pctWidth>0</wp14:pctWidth>
            </wp14:sizeRelH>
            <wp14:sizeRelV relativeFrom="margin">
              <wp14:pctHeight>0</wp14:pctHeight>
            </wp14:sizeRelV>
          </wp:anchor>
        </w:drawing>
      </w:r>
    </w:p>
    <w:p w14:paraId="7D433075" w14:textId="5A692C9D" w:rsidR="00BD7DB4" w:rsidRDefault="00BD7DB4" w:rsidP="000C3E2D">
      <w:pPr>
        <w:suppressLineNumbers/>
        <w:sectPr w:rsidR="00BD7DB4" w:rsidSect="005B280F">
          <w:headerReference w:type="default" r:id="rId13"/>
          <w:footerReference w:type="default" r:id="rId14"/>
          <w:pgSz w:w="12240" w:h="15840"/>
          <w:pgMar w:top="1440" w:right="1440" w:bottom="1440" w:left="1440" w:header="720" w:footer="720" w:gutter="0"/>
          <w:lnNumType w:countBy="1" w:restart="newSection"/>
          <w:cols w:space="720"/>
          <w:docGrid w:linePitch="360"/>
        </w:sectPr>
      </w:pPr>
    </w:p>
    <w:sdt>
      <w:sdtPr>
        <w:rPr>
          <w:rFonts w:ascii="Calibri" w:eastAsiaTheme="minorHAnsi" w:hAnsi="Calibri" w:cstheme="minorBidi"/>
          <w:color w:val="auto"/>
          <w:kern w:val="2"/>
          <w:sz w:val="22"/>
          <w:szCs w:val="22"/>
          <w14:ligatures w14:val="standardContextual"/>
        </w:rPr>
        <w:id w:val="1604994518"/>
        <w:docPartObj>
          <w:docPartGallery w:val="Table of Contents"/>
          <w:docPartUnique/>
        </w:docPartObj>
      </w:sdtPr>
      <w:sdtEndPr>
        <w:rPr>
          <w:b/>
          <w:bCs/>
          <w:noProof/>
          <w:sz w:val="20"/>
          <w:szCs w:val="20"/>
        </w:rPr>
      </w:sdtEndPr>
      <w:sdtContent>
        <w:p w14:paraId="0AEF30B8" w14:textId="6E68DF38" w:rsidR="00240072" w:rsidRPr="00BE205D" w:rsidRDefault="00240072" w:rsidP="000C3E2D">
          <w:pPr>
            <w:pStyle w:val="TOCHeading"/>
            <w:suppressLineNumbers/>
            <w:spacing w:before="0"/>
            <w:rPr>
              <w:sz w:val="20"/>
              <w:szCs w:val="20"/>
            </w:rPr>
          </w:pPr>
        </w:p>
        <w:p w14:paraId="6CEEC578" w14:textId="77777777" w:rsidR="00865B51" w:rsidRPr="00BE205D" w:rsidRDefault="00240072" w:rsidP="000C3E2D">
          <w:pPr>
            <w:pStyle w:val="Heading1"/>
            <w:suppressLineNumbers/>
            <w:rPr>
              <w:noProof/>
              <w:sz w:val="20"/>
              <w:szCs w:val="20"/>
            </w:rPr>
          </w:pPr>
          <w:bookmarkStart w:id="3" w:name="_Toc157060182"/>
          <w:r w:rsidRPr="00BE205D">
            <w:rPr>
              <w:sz w:val="20"/>
              <w:szCs w:val="20"/>
            </w:rPr>
            <w:t>Table of Contents</w:t>
          </w:r>
          <w:bookmarkEnd w:id="3"/>
          <w:r w:rsidR="00C00158" w:rsidRPr="00BE205D">
            <w:rPr>
              <w:sz w:val="20"/>
              <w:szCs w:val="20"/>
            </w:rPr>
            <w:fldChar w:fldCharType="begin"/>
          </w:r>
          <w:r w:rsidR="00C00158" w:rsidRPr="00BE205D">
            <w:rPr>
              <w:sz w:val="20"/>
              <w:szCs w:val="20"/>
            </w:rPr>
            <w:instrText xml:space="preserve"> TOC \o "1-3" \h \z \u </w:instrText>
          </w:r>
          <w:r w:rsidR="00C00158" w:rsidRPr="00BE205D">
            <w:rPr>
              <w:sz w:val="20"/>
              <w:szCs w:val="20"/>
            </w:rPr>
            <w:fldChar w:fldCharType="separate"/>
          </w:r>
        </w:p>
        <w:p w14:paraId="53690FF2" w14:textId="2DA526A2" w:rsidR="00865B51" w:rsidRPr="00044AA2" w:rsidRDefault="00441ABB">
          <w:pPr>
            <w:pStyle w:val="TOC1"/>
            <w:rPr>
              <w:rFonts w:eastAsiaTheme="minorEastAsia" w:cstheme="minorBidi"/>
              <w:color w:val="auto"/>
              <w:sz w:val="20"/>
              <w:szCs w:val="20"/>
            </w:rPr>
          </w:pPr>
          <w:hyperlink w:anchor="_Toc157060183" w:history="1">
            <w:r w:rsidR="00865B51" w:rsidRPr="00044AA2">
              <w:rPr>
                <w:rStyle w:val="Hyperlink"/>
                <w:sz w:val="20"/>
                <w:szCs w:val="20"/>
              </w:rPr>
              <w:t>Table of Abbreviations</w:t>
            </w:r>
            <w:r w:rsidR="00865B51" w:rsidRPr="00044AA2">
              <w:rPr>
                <w:webHidden/>
                <w:sz w:val="20"/>
                <w:szCs w:val="20"/>
              </w:rPr>
              <w:tab/>
            </w:r>
            <w:r w:rsidR="00865B51" w:rsidRPr="00044AA2">
              <w:rPr>
                <w:webHidden/>
                <w:sz w:val="20"/>
                <w:szCs w:val="20"/>
              </w:rPr>
              <w:fldChar w:fldCharType="begin"/>
            </w:r>
            <w:r w:rsidR="00865B51" w:rsidRPr="00044AA2">
              <w:rPr>
                <w:webHidden/>
                <w:sz w:val="20"/>
                <w:szCs w:val="20"/>
              </w:rPr>
              <w:instrText xml:space="preserve"> PAGEREF _Toc157060183 \h </w:instrText>
            </w:r>
            <w:r w:rsidR="00865B51" w:rsidRPr="00044AA2">
              <w:rPr>
                <w:webHidden/>
                <w:sz w:val="20"/>
                <w:szCs w:val="20"/>
              </w:rPr>
            </w:r>
            <w:r w:rsidR="00865B51" w:rsidRPr="00044AA2">
              <w:rPr>
                <w:webHidden/>
                <w:sz w:val="20"/>
                <w:szCs w:val="20"/>
              </w:rPr>
              <w:fldChar w:fldCharType="separate"/>
            </w:r>
            <w:r w:rsidR="00BD293E">
              <w:rPr>
                <w:webHidden/>
                <w:sz w:val="20"/>
                <w:szCs w:val="20"/>
              </w:rPr>
              <w:t>3</w:t>
            </w:r>
            <w:r w:rsidR="00865B51" w:rsidRPr="00044AA2">
              <w:rPr>
                <w:webHidden/>
                <w:sz w:val="20"/>
                <w:szCs w:val="20"/>
              </w:rPr>
              <w:fldChar w:fldCharType="end"/>
            </w:r>
          </w:hyperlink>
        </w:p>
        <w:p w14:paraId="00958C09" w14:textId="7380BD31" w:rsidR="00865B51" w:rsidRPr="00044AA2" w:rsidRDefault="00441ABB">
          <w:pPr>
            <w:pStyle w:val="TOC1"/>
            <w:rPr>
              <w:rFonts w:eastAsiaTheme="minorEastAsia" w:cstheme="minorBidi"/>
              <w:color w:val="auto"/>
              <w:sz w:val="20"/>
              <w:szCs w:val="20"/>
            </w:rPr>
          </w:pPr>
          <w:hyperlink w:anchor="_Toc157060184" w:history="1">
            <w:r w:rsidR="00865B51" w:rsidRPr="00044AA2">
              <w:rPr>
                <w:rStyle w:val="Hyperlink"/>
                <w:sz w:val="20"/>
                <w:szCs w:val="20"/>
              </w:rPr>
              <w:t>Introduction</w:t>
            </w:r>
            <w:r w:rsidR="00865B51" w:rsidRPr="00044AA2">
              <w:rPr>
                <w:webHidden/>
                <w:sz w:val="20"/>
                <w:szCs w:val="20"/>
              </w:rPr>
              <w:tab/>
            </w:r>
            <w:r w:rsidR="00865B51" w:rsidRPr="00044AA2">
              <w:rPr>
                <w:webHidden/>
                <w:sz w:val="20"/>
                <w:szCs w:val="20"/>
              </w:rPr>
              <w:fldChar w:fldCharType="begin"/>
            </w:r>
            <w:r w:rsidR="00865B51" w:rsidRPr="00044AA2">
              <w:rPr>
                <w:webHidden/>
                <w:sz w:val="20"/>
                <w:szCs w:val="20"/>
              </w:rPr>
              <w:instrText xml:space="preserve"> PAGEREF _Toc157060184 \h </w:instrText>
            </w:r>
            <w:r w:rsidR="00865B51" w:rsidRPr="00044AA2">
              <w:rPr>
                <w:webHidden/>
                <w:sz w:val="20"/>
                <w:szCs w:val="20"/>
              </w:rPr>
            </w:r>
            <w:r w:rsidR="00865B51" w:rsidRPr="00044AA2">
              <w:rPr>
                <w:webHidden/>
                <w:sz w:val="20"/>
                <w:szCs w:val="20"/>
              </w:rPr>
              <w:fldChar w:fldCharType="separate"/>
            </w:r>
            <w:r w:rsidR="00BD293E">
              <w:rPr>
                <w:webHidden/>
                <w:sz w:val="20"/>
                <w:szCs w:val="20"/>
              </w:rPr>
              <w:t>4</w:t>
            </w:r>
            <w:r w:rsidR="00865B51" w:rsidRPr="00044AA2">
              <w:rPr>
                <w:webHidden/>
                <w:sz w:val="20"/>
                <w:szCs w:val="20"/>
              </w:rPr>
              <w:fldChar w:fldCharType="end"/>
            </w:r>
          </w:hyperlink>
        </w:p>
        <w:p w14:paraId="0429F5F0" w14:textId="34E4D7B3"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185" w:history="1">
            <w:r w:rsidR="00865B51" w:rsidRPr="00BE205D">
              <w:rPr>
                <w:rStyle w:val="Hyperlink"/>
                <w:noProof/>
                <w:sz w:val="20"/>
                <w:szCs w:val="20"/>
              </w:rPr>
              <w:t>Key Observations and Progress</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_Toc157060185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4</w:t>
            </w:r>
            <w:r w:rsidR="00865B51" w:rsidRPr="00BE205D">
              <w:rPr>
                <w:noProof/>
                <w:webHidden/>
                <w:sz w:val="20"/>
                <w:szCs w:val="20"/>
              </w:rPr>
              <w:fldChar w:fldCharType="end"/>
            </w:r>
          </w:hyperlink>
        </w:p>
        <w:p w14:paraId="58CCA24C" w14:textId="3B9C2E75"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186" w:history="1">
            <w:r w:rsidR="00865B51" w:rsidRPr="00BE205D">
              <w:rPr>
                <w:rStyle w:val="Hyperlink"/>
                <w:noProof/>
                <w:sz w:val="20"/>
                <w:szCs w:val="20"/>
              </w:rPr>
              <w:t>Channel Morphology and Vegetation</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_Toc157060186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5</w:t>
            </w:r>
            <w:r w:rsidR="00865B51" w:rsidRPr="00BE205D">
              <w:rPr>
                <w:noProof/>
                <w:webHidden/>
                <w:sz w:val="20"/>
                <w:szCs w:val="20"/>
              </w:rPr>
              <w:fldChar w:fldCharType="end"/>
            </w:r>
          </w:hyperlink>
        </w:p>
        <w:p w14:paraId="3D7B2618" w14:textId="62463C2B"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187" w:history="1">
            <w:r w:rsidR="00865B51" w:rsidRPr="00BE205D">
              <w:rPr>
                <w:rStyle w:val="Hyperlink"/>
                <w:noProof/>
                <w:sz w:val="20"/>
                <w:szCs w:val="20"/>
              </w:rPr>
              <w:t>Piping Plover (PP) Habitat, Use, and Productivity</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_Toc157060187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6</w:t>
            </w:r>
            <w:r w:rsidR="00865B51" w:rsidRPr="00BE205D">
              <w:rPr>
                <w:noProof/>
                <w:webHidden/>
                <w:sz w:val="20"/>
                <w:szCs w:val="20"/>
              </w:rPr>
              <w:fldChar w:fldCharType="end"/>
            </w:r>
          </w:hyperlink>
        </w:p>
        <w:p w14:paraId="38713133" w14:textId="1990AF0E"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188" w:history="1">
            <w:r w:rsidR="00865B51" w:rsidRPr="00BE205D">
              <w:rPr>
                <w:rStyle w:val="Hyperlink"/>
                <w:noProof/>
                <w:sz w:val="20"/>
                <w:szCs w:val="20"/>
              </w:rPr>
              <w:t>Whooping Crane (WC) Habitat and Use</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_Toc157060188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7</w:t>
            </w:r>
            <w:r w:rsidR="00865B51" w:rsidRPr="00BE205D">
              <w:rPr>
                <w:noProof/>
                <w:webHidden/>
                <w:sz w:val="20"/>
                <w:szCs w:val="20"/>
              </w:rPr>
              <w:fldChar w:fldCharType="end"/>
            </w:r>
          </w:hyperlink>
        </w:p>
        <w:p w14:paraId="69793A21" w14:textId="16CAA6A9"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189" w:history="1">
            <w:r w:rsidR="00865B51" w:rsidRPr="00BE205D">
              <w:rPr>
                <w:rStyle w:val="Hyperlink"/>
                <w:noProof/>
                <w:sz w:val="20"/>
                <w:szCs w:val="20"/>
              </w:rPr>
              <w:t>Pallid Sturgeon (PS) Habitat and Use</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_Toc157060189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8</w:t>
            </w:r>
            <w:r w:rsidR="00865B51" w:rsidRPr="00BE205D">
              <w:rPr>
                <w:noProof/>
                <w:webHidden/>
                <w:sz w:val="20"/>
                <w:szCs w:val="20"/>
              </w:rPr>
              <w:fldChar w:fldCharType="end"/>
            </w:r>
          </w:hyperlink>
        </w:p>
        <w:p w14:paraId="6AB80490" w14:textId="78DD3D0F" w:rsidR="00865B51" w:rsidRPr="00BE205D" w:rsidRDefault="00441ABB">
          <w:pPr>
            <w:pStyle w:val="TOC1"/>
            <w:rPr>
              <w:rFonts w:eastAsiaTheme="minorEastAsia" w:cstheme="minorBidi"/>
              <w:b w:val="0"/>
              <w:bCs w:val="0"/>
              <w:color w:val="auto"/>
              <w:sz w:val="20"/>
              <w:szCs w:val="20"/>
            </w:rPr>
          </w:pPr>
          <w:hyperlink w:anchor="_Toc157060190" w:history="1">
            <w:r w:rsidR="00865B51" w:rsidRPr="00BE205D">
              <w:rPr>
                <w:rStyle w:val="Hyperlink"/>
                <w:sz w:val="20"/>
                <w:szCs w:val="20"/>
              </w:rPr>
              <w:t>Independent Scientific Advisory Committee (ISAC) Comments on 2024 State of the Platte</w:t>
            </w:r>
            <w:r w:rsidR="00865B51" w:rsidRPr="00BE205D">
              <w:rPr>
                <w:webHidden/>
                <w:sz w:val="20"/>
                <w:szCs w:val="20"/>
              </w:rPr>
              <w:tab/>
            </w:r>
            <w:r w:rsidR="00865B51" w:rsidRPr="00BE205D">
              <w:rPr>
                <w:webHidden/>
                <w:sz w:val="20"/>
                <w:szCs w:val="20"/>
              </w:rPr>
              <w:fldChar w:fldCharType="begin"/>
            </w:r>
            <w:r w:rsidR="00865B51" w:rsidRPr="00BE205D">
              <w:rPr>
                <w:webHidden/>
                <w:sz w:val="20"/>
                <w:szCs w:val="20"/>
              </w:rPr>
              <w:instrText xml:space="preserve"> PAGEREF _Toc157060190 \h </w:instrText>
            </w:r>
            <w:r w:rsidR="00865B51" w:rsidRPr="00BE205D">
              <w:rPr>
                <w:webHidden/>
                <w:sz w:val="20"/>
                <w:szCs w:val="20"/>
              </w:rPr>
            </w:r>
            <w:r w:rsidR="00865B51" w:rsidRPr="00BE205D">
              <w:rPr>
                <w:webHidden/>
                <w:sz w:val="20"/>
                <w:szCs w:val="20"/>
              </w:rPr>
              <w:fldChar w:fldCharType="separate"/>
            </w:r>
            <w:r w:rsidR="00BD293E">
              <w:rPr>
                <w:webHidden/>
                <w:sz w:val="20"/>
                <w:szCs w:val="20"/>
              </w:rPr>
              <w:t>9</w:t>
            </w:r>
            <w:r w:rsidR="00865B51" w:rsidRPr="00BE205D">
              <w:rPr>
                <w:webHidden/>
                <w:sz w:val="20"/>
                <w:szCs w:val="20"/>
              </w:rPr>
              <w:fldChar w:fldCharType="end"/>
            </w:r>
          </w:hyperlink>
        </w:p>
        <w:p w14:paraId="3093FCD4" w14:textId="71B0A172" w:rsidR="00865B51" w:rsidRPr="00BE205D" w:rsidRDefault="00441ABB">
          <w:pPr>
            <w:pStyle w:val="TOC1"/>
            <w:rPr>
              <w:rFonts w:eastAsiaTheme="minorEastAsia" w:cstheme="minorBidi"/>
              <w:b w:val="0"/>
              <w:bCs w:val="0"/>
              <w:color w:val="auto"/>
              <w:sz w:val="20"/>
              <w:szCs w:val="20"/>
            </w:rPr>
          </w:pPr>
          <w:hyperlink w:anchor="_Toc157060191" w:history="1">
            <w:r w:rsidR="00865B51" w:rsidRPr="00BE205D">
              <w:rPr>
                <w:rStyle w:val="Hyperlink"/>
                <w:sz w:val="20"/>
                <w:szCs w:val="20"/>
              </w:rPr>
              <w:t>Technical Advisory Committee (TAC) Comments on the 2024 State of the Platte</w:t>
            </w:r>
            <w:r w:rsidR="00865B51" w:rsidRPr="00BE205D">
              <w:rPr>
                <w:webHidden/>
                <w:sz w:val="20"/>
                <w:szCs w:val="20"/>
              </w:rPr>
              <w:tab/>
            </w:r>
            <w:r w:rsidR="00865B51" w:rsidRPr="00BE205D">
              <w:rPr>
                <w:webHidden/>
                <w:sz w:val="20"/>
                <w:szCs w:val="20"/>
              </w:rPr>
              <w:fldChar w:fldCharType="begin"/>
            </w:r>
            <w:r w:rsidR="00865B51" w:rsidRPr="00BE205D">
              <w:rPr>
                <w:webHidden/>
                <w:sz w:val="20"/>
                <w:szCs w:val="20"/>
              </w:rPr>
              <w:instrText xml:space="preserve"> PAGEREF _Toc157060191 \h </w:instrText>
            </w:r>
            <w:r w:rsidR="00865B51" w:rsidRPr="00BE205D">
              <w:rPr>
                <w:webHidden/>
                <w:sz w:val="20"/>
                <w:szCs w:val="20"/>
              </w:rPr>
            </w:r>
            <w:r w:rsidR="00865B51" w:rsidRPr="00BE205D">
              <w:rPr>
                <w:webHidden/>
                <w:sz w:val="20"/>
                <w:szCs w:val="20"/>
              </w:rPr>
              <w:fldChar w:fldCharType="separate"/>
            </w:r>
            <w:r w:rsidR="00BD293E">
              <w:rPr>
                <w:webHidden/>
                <w:sz w:val="20"/>
                <w:szCs w:val="20"/>
              </w:rPr>
              <w:t>10</w:t>
            </w:r>
            <w:r w:rsidR="00865B51" w:rsidRPr="00BE205D">
              <w:rPr>
                <w:webHidden/>
                <w:sz w:val="20"/>
                <w:szCs w:val="20"/>
              </w:rPr>
              <w:fldChar w:fldCharType="end"/>
            </w:r>
          </w:hyperlink>
        </w:p>
        <w:p w14:paraId="385715CD" w14:textId="35E6A748" w:rsidR="00865B51" w:rsidRPr="00044AA2" w:rsidRDefault="00441ABB">
          <w:pPr>
            <w:pStyle w:val="TOC1"/>
            <w:rPr>
              <w:rFonts w:eastAsiaTheme="minorEastAsia" w:cstheme="minorBidi"/>
              <w:color w:val="auto"/>
              <w:sz w:val="20"/>
              <w:szCs w:val="20"/>
            </w:rPr>
          </w:pPr>
          <w:hyperlink w:anchor="_Toc157060192" w:history="1">
            <w:r w:rsidR="00865B51" w:rsidRPr="00044AA2">
              <w:rPr>
                <w:rStyle w:val="Hyperlink"/>
                <w:sz w:val="20"/>
                <w:szCs w:val="20"/>
              </w:rPr>
              <w:t>Extension Starting Point: Summary of Key Learning from the First Increment (years 2007-2019)</w:t>
            </w:r>
            <w:r w:rsidR="00865B51" w:rsidRPr="00044AA2">
              <w:rPr>
                <w:webHidden/>
                <w:sz w:val="20"/>
                <w:szCs w:val="20"/>
              </w:rPr>
              <w:tab/>
            </w:r>
            <w:r w:rsidR="00865B51" w:rsidRPr="00044AA2">
              <w:rPr>
                <w:webHidden/>
                <w:sz w:val="20"/>
                <w:szCs w:val="20"/>
              </w:rPr>
              <w:fldChar w:fldCharType="begin"/>
            </w:r>
            <w:r w:rsidR="00865B51" w:rsidRPr="00044AA2">
              <w:rPr>
                <w:webHidden/>
                <w:sz w:val="20"/>
                <w:szCs w:val="20"/>
              </w:rPr>
              <w:instrText xml:space="preserve"> PAGEREF _Toc157060192 \h </w:instrText>
            </w:r>
            <w:r w:rsidR="00865B51" w:rsidRPr="00044AA2">
              <w:rPr>
                <w:webHidden/>
                <w:sz w:val="20"/>
                <w:szCs w:val="20"/>
              </w:rPr>
            </w:r>
            <w:r w:rsidR="00865B51" w:rsidRPr="00044AA2">
              <w:rPr>
                <w:webHidden/>
                <w:sz w:val="20"/>
                <w:szCs w:val="20"/>
              </w:rPr>
              <w:fldChar w:fldCharType="separate"/>
            </w:r>
            <w:r w:rsidR="00BD293E">
              <w:rPr>
                <w:webHidden/>
                <w:sz w:val="20"/>
                <w:szCs w:val="20"/>
              </w:rPr>
              <w:t>11</w:t>
            </w:r>
            <w:r w:rsidR="00865B51" w:rsidRPr="00044AA2">
              <w:rPr>
                <w:webHidden/>
                <w:sz w:val="20"/>
                <w:szCs w:val="20"/>
              </w:rPr>
              <w:fldChar w:fldCharType="end"/>
            </w:r>
          </w:hyperlink>
        </w:p>
        <w:p w14:paraId="74A597FC" w14:textId="27E10F83" w:rsidR="00865B51" w:rsidRPr="00044AA2" w:rsidRDefault="00441ABB">
          <w:pPr>
            <w:pStyle w:val="TOC1"/>
            <w:rPr>
              <w:rFonts w:eastAsiaTheme="minorEastAsia" w:cstheme="minorBidi"/>
              <w:color w:val="auto"/>
              <w:sz w:val="20"/>
              <w:szCs w:val="20"/>
            </w:rPr>
          </w:pPr>
          <w:hyperlink w:anchor="_Toc157060205" w:history="1">
            <w:r w:rsidR="00865B51" w:rsidRPr="00044AA2">
              <w:rPr>
                <w:rStyle w:val="Hyperlink"/>
                <w:sz w:val="20"/>
                <w:szCs w:val="20"/>
              </w:rPr>
              <w:t>Extension Science Priorities</w:t>
            </w:r>
            <w:r w:rsidR="00865B51" w:rsidRPr="00044AA2">
              <w:rPr>
                <w:webHidden/>
                <w:sz w:val="20"/>
                <w:szCs w:val="20"/>
              </w:rPr>
              <w:tab/>
            </w:r>
            <w:r w:rsidR="00865B51" w:rsidRPr="00044AA2">
              <w:rPr>
                <w:webHidden/>
                <w:sz w:val="20"/>
                <w:szCs w:val="20"/>
              </w:rPr>
              <w:fldChar w:fldCharType="begin"/>
            </w:r>
            <w:r w:rsidR="00865B51" w:rsidRPr="00044AA2">
              <w:rPr>
                <w:webHidden/>
                <w:sz w:val="20"/>
                <w:szCs w:val="20"/>
              </w:rPr>
              <w:instrText xml:space="preserve"> PAGEREF _Toc157060205 \h </w:instrText>
            </w:r>
            <w:r w:rsidR="00865B51" w:rsidRPr="00044AA2">
              <w:rPr>
                <w:webHidden/>
                <w:sz w:val="20"/>
                <w:szCs w:val="20"/>
              </w:rPr>
            </w:r>
            <w:r w:rsidR="00865B51" w:rsidRPr="00044AA2">
              <w:rPr>
                <w:webHidden/>
                <w:sz w:val="20"/>
                <w:szCs w:val="20"/>
              </w:rPr>
              <w:fldChar w:fldCharType="separate"/>
            </w:r>
            <w:r w:rsidR="00BD293E">
              <w:rPr>
                <w:webHidden/>
                <w:sz w:val="20"/>
                <w:szCs w:val="20"/>
              </w:rPr>
              <w:t>13</w:t>
            </w:r>
            <w:r w:rsidR="00865B51" w:rsidRPr="00044AA2">
              <w:rPr>
                <w:webHidden/>
                <w:sz w:val="20"/>
                <w:szCs w:val="20"/>
              </w:rPr>
              <w:fldChar w:fldCharType="end"/>
            </w:r>
          </w:hyperlink>
        </w:p>
        <w:p w14:paraId="0FC4A1D3" w14:textId="6CCC337B" w:rsidR="00865B51" w:rsidRPr="00BE205D" w:rsidRDefault="00441ABB">
          <w:pPr>
            <w:pStyle w:val="TOC1"/>
            <w:rPr>
              <w:rFonts w:eastAsiaTheme="minorEastAsia" w:cstheme="minorBidi"/>
              <w:b w:val="0"/>
              <w:bCs w:val="0"/>
              <w:color w:val="auto"/>
              <w:sz w:val="20"/>
              <w:szCs w:val="20"/>
            </w:rPr>
          </w:pPr>
          <w:hyperlink w:anchor="_Toc157060206" w:history="1">
            <w:r w:rsidR="00865B51" w:rsidRPr="00BE205D">
              <w:rPr>
                <w:rStyle w:val="Hyperlink"/>
                <w:sz w:val="20"/>
                <w:szCs w:val="20"/>
              </w:rPr>
              <w:t>Extension “Big Questions”</w:t>
            </w:r>
            <w:r w:rsidR="00865B51" w:rsidRPr="00BE205D">
              <w:rPr>
                <w:webHidden/>
                <w:sz w:val="20"/>
                <w:szCs w:val="20"/>
              </w:rPr>
              <w:tab/>
            </w:r>
            <w:r w:rsidR="00865B51" w:rsidRPr="00BE205D">
              <w:rPr>
                <w:webHidden/>
                <w:sz w:val="20"/>
                <w:szCs w:val="20"/>
              </w:rPr>
              <w:fldChar w:fldCharType="begin"/>
            </w:r>
            <w:r w:rsidR="00865B51" w:rsidRPr="00BE205D">
              <w:rPr>
                <w:webHidden/>
                <w:sz w:val="20"/>
                <w:szCs w:val="20"/>
              </w:rPr>
              <w:instrText xml:space="preserve"> PAGEREF _Toc157060206 \h </w:instrText>
            </w:r>
            <w:r w:rsidR="00865B51" w:rsidRPr="00BE205D">
              <w:rPr>
                <w:webHidden/>
                <w:sz w:val="20"/>
                <w:szCs w:val="20"/>
              </w:rPr>
            </w:r>
            <w:r w:rsidR="00865B51" w:rsidRPr="00BE205D">
              <w:rPr>
                <w:webHidden/>
                <w:sz w:val="20"/>
                <w:szCs w:val="20"/>
              </w:rPr>
              <w:fldChar w:fldCharType="separate"/>
            </w:r>
            <w:r w:rsidR="00BD293E">
              <w:rPr>
                <w:webHidden/>
                <w:sz w:val="20"/>
                <w:szCs w:val="20"/>
              </w:rPr>
              <w:t>14</w:t>
            </w:r>
            <w:r w:rsidR="00865B51" w:rsidRPr="00BE205D">
              <w:rPr>
                <w:webHidden/>
                <w:sz w:val="20"/>
                <w:szCs w:val="20"/>
              </w:rPr>
              <w:fldChar w:fldCharType="end"/>
            </w:r>
          </w:hyperlink>
        </w:p>
        <w:p w14:paraId="0580D820" w14:textId="5961F72F"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207" w:history="1">
            <w:r w:rsidR="00865B51" w:rsidRPr="00BE205D">
              <w:rPr>
                <w:rStyle w:val="Hyperlink"/>
                <w:noProof/>
                <w:sz w:val="20"/>
                <w:szCs w:val="20"/>
              </w:rPr>
              <w:t>Table 2. Quick Reference Legend Explaining Icons Used to Assess EBQs.</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_Toc157060207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14</w:t>
            </w:r>
            <w:r w:rsidR="00865B51" w:rsidRPr="00BE205D">
              <w:rPr>
                <w:noProof/>
                <w:webHidden/>
                <w:sz w:val="20"/>
                <w:szCs w:val="20"/>
              </w:rPr>
              <w:fldChar w:fldCharType="end"/>
            </w:r>
          </w:hyperlink>
        </w:p>
        <w:p w14:paraId="3AEFE724" w14:textId="334D7A3A" w:rsidR="00865B51" w:rsidRPr="00BE205D" w:rsidRDefault="00441ABB">
          <w:pPr>
            <w:pStyle w:val="TOC2"/>
            <w:tabs>
              <w:tab w:val="right" w:leader="dot" w:pos="9350"/>
            </w:tabs>
            <w:rPr>
              <w:rFonts w:asciiTheme="minorHAnsi" w:eastAsiaTheme="minorEastAsia" w:hAnsiTheme="minorHAnsi"/>
              <w:b/>
              <w:bCs/>
              <w:noProof/>
              <w:sz w:val="20"/>
              <w:szCs w:val="20"/>
            </w:rPr>
          </w:pPr>
          <w:hyperlink w:anchor="_Toc157060208" w:history="1">
            <w:r w:rsidR="00865B51" w:rsidRPr="00BE205D">
              <w:rPr>
                <w:rStyle w:val="Hyperlink"/>
                <w:b/>
                <w:bCs/>
                <w:noProof/>
                <w:color w:val="0070C0"/>
                <w:sz w:val="20"/>
                <w:szCs w:val="20"/>
              </w:rPr>
              <w:t>Table 3. 2024 Extension Big Question (EBQ) Assessments.</w:t>
            </w:r>
            <w:r w:rsidR="00865B51" w:rsidRPr="00BE205D">
              <w:rPr>
                <w:b/>
                <w:bCs/>
                <w:noProof/>
                <w:webHidden/>
                <w:color w:val="0070C0"/>
                <w:sz w:val="20"/>
                <w:szCs w:val="20"/>
              </w:rPr>
              <w:tab/>
            </w:r>
            <w:r w:rsidR="00865B51" w:rsidRPr="00BE205D">
              <w:rPr>
                <w:b/>
                <w:bCs/>
                <w:noProof/>
                <w:webHidden/>
                <w:color w:val="0070C0"/>
                <w:sz w:val="20"/>
                <w:szCs w:val="20"/>
              </w:rPr>
              <w:fldChar w:fldCharType="begin"/>
            </w:r>
            <w:r w:rsidR="00865B51" w:rsidRPr="00BE205D">
              <w:rPr>
                <w:b/>
                <w:bCs/>
                <w:noProof/>
                <w:webHidden/>
                <w:color w:val="0070C0"/>
                <w:sz w:val="20"/>
                <w:szCs w:val="20"/>
              </w:rPr>
              <w:instrText xml:space="preserve"> PAGEREF _Toc157060208 \h </w:instrText>
            </w:r>
            <w:r w:rsidR="00865B51" w:rsidRPr="00BE205D">
              <w:rPr>
                <w:b/>
                <w:bCs/>
                <w:noProof/>
                <w:webHidden/>
                <w:color w:val="0070C0"/>
                <w:sz w:val="20"/>
                <w:szCs w:val="20"/>
              </w:rPr>
            </w:r>
            <w:r w:rsidR="00865B51" w:rsidRPr="00BE205D">
              <w:rPr>
                <w:b/>
                <w:bCs/>
                <w:noProof/>
                <w:webHidden/>
                <w:color w:val="0070C0"/>
                <w:sz w:val="20"/>
                <w:szCs w:val="20"/>
              </w:rPr>
              <w:fldChar w:fldCharType="separate"/>
            </w:r>
            <w:r w:rsidR="00BD293E">
              <w:rPr>
                <w:b/>
                <w:bCs/>
                <w:noProof/>
                <w:webHidden/>
                <w:color w:val="0070C0"/>
                <w:sz w:val="20"/>
                <w:szCs w:val="20"/>
              </w:rPr>
              <w:t>15</w:t>
            </w:r>
            <w:r w:rsidR="00865B51" w:rsidRPr="00BE205D">
              <w:rPr>
                <w:b/>
                <w:bCs/>
                <w:noProof/>
                <w:webHidden/>
                <w:color w:val="0070C0"/>
                <w:sz w:val="20"/>
                <w:szCs w:val="20"/>
              </w:rPr>
              <w:fldChar w:fldCharType="end"/>
            </w:r>
          </w:hyperlink>
        </w:p>
        <w:p w14:paraId="2D32A596" w14:textId="24CA6F4D"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220" w:history="1">
            <w:r w:rsidR="00865B51" w:rsidRPr="00BE205D">
              <w:rPr>
                <w:rStyle w:val="Hyperlink"/>
                <w:noProof/>
                <w:sz w:val="20"/>
                <w:szCs w:val="20"/>
              </w:rPr>
              <w:t>Structured Decision-Making (SDM)</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_Toc157060220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15</w:t>
            </w:r>
            <w:r w:rsidR="00865B51" w:rsidRPr="00BE205D">
              <w:rPr>
                <w:noProof/>
                <w:webHidden/>
                <w:sz w:val="20"/>
                <w:szCs w:val="20"/>
              </w:rPr>
              <w:fldChar w:fldCharType="end"/>
            </w:r>
          </w:hyperlink>
        </w:p>
        <w:p w14:paraId="0B074551" w14:textId="3867A934" w:rsidR="00865B51" w:rsidRPr="00BE205D" w:rsidRDefault="00441ABB">
          <w:pPr>
            <w:pStyle w:val="TOC1"/>
            <w:rPr>
              <w:rFonts w:eastAsiaTheme="minorEastAsia" w:cstheme="minorBidi"/>
              <w:b w:val="0"/>
              <w:bCs w:val="0"/>
              <w:color w:val="0070C0"/>
              <w:sz w:val="20"/>
              <w:szCs w:val="20"/>
            </w:rPr>
          </w:pPr>
          <w:hyperlink w:anchor="_Toc157060221" w:history="1">
            <w:r w:rsidR="00865B51" w:rsidRPr="00BE205D">
              <w:rPr>
                <w:rStyle w:val="Hyperlink"/>
                <w:b w:val="0"/>
                <w:bCs w:val="0"/>
                <w:color w:val="0070C0"/>
                <w:sz w:val="20"/>
                <w:szCs w:val="20"/>
              </w:rPr>
              <w:t xml:space="preserve">EBQ #1 – </w:t>
            </w:r>
            <w:r w:rsidR="00865B51" w:rsidRPr="00BE205D">
              <w:rPr>
                <w:rStyle w:val="Hyperlink"/>
                <w:b w:val="0"/>
                <w:bCs w:val="0"/>
                <w:i/>
                <w:iCs/>
                <w:color w:val="0070C0"/>
                <w:sz w:val="20"/>
                <w:szCs w:val="20"/>
              </w:rPr>
              <w:t>How effective is it to use Program water to maintain suitable* WC roosting habitat?</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_Toc157060221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16</w:t>
            </w:r>
            <w:r w:rsidR="00865B51" w:rsidRPr="00BE205D">
              <w:rPr>
                <w:b w:val="0"/>
                <w:bCs w:val="0"/>
                <w:webHidden/>
                <w:color w:val="0070C0"/>
                <w:sz w:val="20"/>
                <w:szCs w:val="20"/>
              </w:rPr>
              <w:fldChar w:fldCharType="end"/>
            </w:r>
          </w:hyperlink>
        </w:p>
        <w:p w14:paraId="1C5B3E3D" w14:textId="67CD77C3" w:rsidR="00865B51" w:rsidRPr="00BE205D" w:rsidRDefault="00441ABB">
          <w:pPr>
            <w:pStyle w:val="TOC1"/>
            <w:rPr>
              <w:rFonts w:eastAsiaTheme="minorEastAsia" w:cstheme="minorBidi"/>
              <w:b w:val="0"/>
              <w:bCs w:val="0"/>
              <w:color w:val="0070C0"/>
              <w:sz w:val="20"/>
              <w:szCs w:val="20"/>
            </w:rPr>
          </w:pPr>
          <w:hyperlink w:anchor="_Toc157060227" w:history="1">
            <w:r w:rsidR="00865B51" w:rsidRPr="00BE205D">
              <w:rPr>
                <w:rStyle w:val="Hyperlink"/>
                <w:b w:val="0"/>
                <w:bCs w:val="0"/>
                <w:color w:val="0070C0"/>
                <w:sz w:val="20"/>
                <w:szCs w:val="20"/>
              </w:rPr>
              <w:t xml:space="preserve">EBQ #2 – </w:t>
            </w:r>
            <w:r w:rsidR="00865B51" w:rsidRPr="00BE205D">
              <w:rPr>
                <w:rStyle w:val="Hyperlink"/>
                <w:b w:val="0"/>
                <w:bCs w:val="0"/>
                <w:i/>
                <w:iCs/>
                <w:color w:val="0070C0"/>
                <w:sz w:val="20"/>
                <w:szCs w:val="20"/>
              </w:rPr>
              <w:t>How effective is Program management of Phragmites for maintaining suitable whooping crane roosting habitat?</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_Toc157060227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18</w:t>
            </w:r>
            <w:r w:rsidR="00865B51" w:rsidRPr="00BE205D">
              <w:rPr>
                <w:b w:val="0"/>
                <w:bCs w:val="0"/>
                <w:webHidden/>
                <w:color w:val="0070C0"/>
                <w:sz w:val="20"/>
                <w:szCs w:val="20"/>
              </w:rPr>
              <w:fldChar w:fldCharType="end"/>
            </w:r>
          </w:hyperlink>
        </w:p>
        <w:p w14:paraId="599DC778" w14:textId="356DB9AC" w:rsidR="00865B51" w:rsidRPr="00BE205D" w:rsidRDefault="00441ABB">
          <w:pPr>
            <w:pStyle w:val="TOC1"/>
            <w:rPr>
              <w:rFonts w:eastAsiaTheme="minorEastAsia" w:cstheme="minorBidi"/>
              <w:b w:val="0"/>
              <w:bCs w:val="0"/>
              <w:color w:val="0070C0"/>
              <w:sz w:val="20"/>
              <w:szCs w:val="20"/>
            </w:rPr>
          </w:pPr>
          <w:hyperlink w:anchor="_Toc157060233" w:history="1">
            <w:r w:rsidR="00865B51" w:rsidRPr="00BE205D">
              <w:rPr>
                <w:rStyle w:val="Hyperlink"/>
                <w:b w:val="0"/>
                <w:bCs w:val="0"/>
                <w:color w:val="0070C0"/>
                <w:sz w:val="20"/>
                <w:szCs w:val="20"/>
              </w:rPr>
              <w:t xml:space="preserve">EBQ #3 – </w:t>
            </w:r>
            <w:r w:rsidR="00865B51" w:rsidRPr="00BE205D">
              <w:rPr>
                <w:rStyle w:val="Hyperlink"/>
                <w:b w:val="0"/>
                <w:bCs w:val="0"/>
                <w:i/>
                <w:iCs/>
                <w:color w:val="0070C0"/>
                <w:sz w:val="20"/>
                <w:szCs w:val="20"/>
              </w:rPr>
              <w:t>Is sediment augmentation necessary to create and/or maintain suitable whooping crane habitat?</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_Toc157060233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20</w:t>
            </w:r>
            <w:r w:rsidR="00865B51" w:rsidRPr="00BE205D">
              <w:rPr>
                <w:b w:val="0"/>
                <w:bCs w:val="0"/>
                <w:webHidden/>
                <w:color w:val="0070C0"/>
                <w:sz w:val="20"/>
                <w:szCs w:val="20"/>
              </w:rPr>
              <w:fldChar w:fldCharType="end"/>
            </w:r>
          </w:hyperlink>
        </w:p>
        <w:p w14:paraId="5CD0DD01" w14:textId="2F1868C6" w:rsidR="00865B51" w:rsidRPr="00BE205D" w:rsidRDefault="00441ABB">
          <w:pPr>
            <w:pStyle w:val="TOC1"/>
            <w:rPr>
              <w:rFonts w:eastAsiaTheme="minorEastAsia" w:cstheme="minorBidi"/>
              <w:b w:val="0"/>
              <w:bCs w:val="0"/>
              <w:color w:val="0070C0"/>
              <w:sz w:val="20"/>
              <w:szCs w:val="20"/>
            </w:rPr>
          </w:pPr>
          <w:hyperlink w:anchor="_Toc157060239" w:history="1">
            <w:r w:rsidR="00865B51" w:rsidRPr="00BE205D">
              <w:rPr>
                <w:rStyle w:val="Hyperlink"/>
                <w:b w:val="0"/>
                <w:bCs w:val="0"/>
                <w:color w:val="0070C0"/>
                <w:sz w:val="20"/>
                <w:szCs w:val="20"/>
              </w:rPr>
              <w:t xml:space="preserve">EBQ #4 – </w:t>
            </w:r>
            <w:r w:rsidR="00865B51" w:rsidRPr="00BE205D">
              <w:rPr>
                <w:rStyle w:val="Hyperlink"/>
                <w:b w:val="0"/>
                <w:bCs w:val="0"/>
                <w:i/>
                <w:iCs/>
                <w:color w:val="0070C0"/>
                <w:sz w:val="20"/>
                <w:szCs w:val="20"/>
              </w:rPr>
              <w:t>What factors influence WC decision to stop or fly over the AHR?</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_Toc157060239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23</w:t>
            </w:r>
            <w:r w:rsidR="00865B51" w:rsidRPr="00BE205D">
              <w:rPr>
                <w:b w:val="0"/>
                <w:bCs w:val="0"/>
                <w:webHidden/>
                <w:color w:val="0070C0"/>
                <w:sz w:val="20"/>
                <w:szCs w:val="20"/>
              </w:rPr>
              <w:fldChar w:fldCharType="end"/>
            </w:r>
          </w:hyperlink>
        </w:p>
        <w:p w14:paraId="6CB906A0" w14:textId="5FE4D4E4" w:rsidR="00865B51" w:rsidRPr="00BE205D" w:rsidRDefault="00441ABB">
          <w:pPr>
            <w:pStyle w:val="TOC1"/>
            <w:rPr>
              <w:rFonts w:eastAsiaTheme="minorEastAsia" w:cstheme="minorBidi"/>
              <w:b w:val="0"/>
              <w:bCs w:val="0"/>
              <w:color w:val="0070C0"/>
              <w:sz w:val="20"/>
              <w:szCs w:val="20"/>
            </w:rPr>
          </w:pPr>
          <w:hyperlink w:anchor="_Toc157060245" w:history="1">
            <w:r w:rsidR="00865B51" w:rsidRPr="00BE205D">
              <w:rPr>
                <w:rStyle w:val="Hyperlink"/>
                <w:b w:val="0"/>
                <w:bCs w:val="0"/>
                <w:color w:val="0070C0"/>
                <w:sz w:val="20"/>
                <w:szCs w:val="20"/>
              </w:rPr>
              <w:t xml:space="preserve">EBQ #5 – </w:t>
            </w:r>
            <w:r w:rsidR="00865B51" w:rsidRPr="00BE205D">
              <w:rPr>
                <w:rStyle w:val="Hyperlink"/>
                <w:b w:val="0"/>
                <w:bCs w:val="0"/>
                <w:i/>
                <w:iCs/>
                <w:color w:val="0070C0"/>
                <w:sz w:val="20"/>
                <w:szCs w:val="20"/>
              </w:rPr>
              <w:t>What factors influence WC stopover length within the AHR?</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_Toc157060245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25</w:t>
            </w:r>
            <w:r w:rsidR="00865B51" w:rsidRPr="00BE205D">
              <w:rPr>
                <w:b w:val="0"/>
                <w:bCs w:val="0"/>
                <w:webHidden/>
                <w:color w:val="0070C0"/>
                <w:sz w:val="20"/>
                <w:szCs w:val="20"/>
              </w:rPr>
              <w:fldChar w:fldCharType="end"/>
            </w:r>
          </w:hyperlink>
        </w:p>
        <w:p w14:paraId="5F416A35" w14:textId="61EC6125" w:rsidR="00865B51" w:rsidRPr="00BE205D" w:rsidRDefault="00441ABB">
          <w:pPr>
            <w:pStyle w:val="TOC1"/>
            <w:rPr>
              <w:rFonts w:eastAsiaTheme="minorEastAsia" w:cstheme="minorBidi"/>
              <w:b w:val="0"/>
              <w:bCs w:val="0"/>
              <w:color w:val="0070C0"/>
              <w:sz w:val="20"/>
              <w:szCs w:val="20"/>
            </w:rPr>
          </w:pPr>
          <w:hyperlink w:anchor="_Toc157060251" w:history="1">
            <w:r w:rsidR="00865B51" w:rsidRPr="00BE205D">
              <w:rPr>
                <w:rStyle w:val="Hyperlink"/>
                <w:b w:val="0"/>
                <w:bCs w:val="0"/>
                <w:color w:val="0070C0"/>
                <w:sz w:val="20"/>
                <w:szCs w:val="20"/>
              </w:rPr>
              <w:t xml:space="preserve">EBQ #6 – </w:t>
            </w:r>
            <w:r w:rsidR="00865B51" w:rsidRPr="00BE205D">
              <w:rPr>
                <w:rStyle w:val="Hyperlink"/>
                <w:b w:val="0"/>
                <w:bCs w:val="0"/>
                <w:i/>
                <w:iCs/>
                <w:color w:val="0070C0"/>
                <w:sz w:val="20"/>
                <w:szCs w:val="20"/>
              </w:rPr>
              <w:t>Why is spring WC use of the AHR greater than fall WC use?</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_Toc157060251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26</w:t>
            </w:r>
            <w:r w:rsidR="00865B51" w:rsidRPr="00BE205D">
              <w:rPr>
                <w:b w:val="0"/>
                <w:bCs w:val="0"/>
                <w:webHidden/>
                <w:color w:val="0070C0"/>
                <w:sz w:val="20"/>
                <w:szCs w:val="20"/>
              </w:rPr>
              <w:fldChar w:fldCharType="end"/>
            </w:r>
          </w:hyperlink>
        </w:p>
        <w:p w14:paraId="177B0199" w14:textId="765D37C0" w:rsidR="00865B51" w:rsidRPr="00BE205D" w:rsidRDefault="00441ABB">
          <w:pPr>
            <w:pStyle w:val="TOC1"/>
            <w:rPr>
              <w:rFonts w:eastAsiaTheme="minorEastAsia" w:cstheme="minorBidi"/>
              <w:b w:val="0"/>
              <w:bCs w:val="0"/>
              <w:color w:val="0070C0"/>
              <w:sz w:val="20"/>
              <w:szCs w:val="20"/>
            </w:rPr>
          </w:pPr>
          <w:hyperlink w:anchor="_Toc157060257" w:history="1">
            <w:r w:rsidR="00865B51" w:rsidRPr="00BE205D">
              <w:rPr>
                <w:rStyle w:val="Hyperlink"/>
                <w:b w:val="0"/>
                <w:bCs w:val="0"/>
                <w:color w:val="0070C0"/>
                <w:sz w:val="20"/>
                <w:szCs w:val="20"/>
              </w:rPr>
              <w:t xml:space="preserve">EBQ #7 – </w:t>
            </w:r>
            <w:r w:rsidR="00865B51" w:rsidRPr="00BE205D">
              <w:rPr>
                <w:rStyle w:val="Hyperlink"/>
                <w:b w:val="0"/>
                <w:bCs w:val="0"/>
                <w:i/>
                <w:iCs/>
                <w:color w:val="0070C0"/>
                <w:sz w:val="20"/>
                <w:szCs w:val="20"/>
              </w:rPr>
              <w:t>What effect do Program flow management actions to benefit WC, PP, and LT in the central Platte River (CPR) have on PS use of the lower Platte River (LPR)?</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_Toc157060257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29</w:t>
            </w:r>
            <w:r w:rsidR="00865B51" w:rsidRPr="00BE205D">
              <w:rPr>
                <w:b w:val="0"/>
                <w:bCs w:val="0"/>
                <w:webHidden/>
                <w:color w:val="0070C0"/>
                <w:sz w:val="20"/>
                <w:szCs w:val="20"/>
              </w:rPr>
              <w:fldChar w:fldCharType="end"/>
            </w:r>
          </w:hyperlink>
        </w:p>
        <w:p w14:paraId="7DFA7E1C" w14:textId="731A0868" w:rsidR="00865B51" w:rsidRPr="00BE205D" w:rsidRDefault="00441ABB">
          <w:pPr>
            <w:pStyle w:val="TOC1"/>
            <w:rPr>
              <w:rFonts w:eastAsiaTheme="minorEastAsia" w:cstheme="minorBidi"/>
              <w:b w:val="0"/>
              <w:bCs w:val="0"/>
              <w:color w:val="0070C0"/>
              <w:sz w:val="20"/>
              <w:szCs w:val="20"/>
            </w:rPr>
          </w:pPr>
          <w:hyperlink w:anchor="_Toc157060263" w:history="1">
            <w:r w:rsidR="00865B51" w:rsidRPr="00BE205D">
              <w:rPr>
                <w:rStyle w:val="Hyperlink"/>
                <w:b w:val="0"/>
                <w:bCs w:val="0"/>
                <w:color w:val="0070C0"/>
                <w:sz w:val="20"/>
                <w:szCs w:val="20"/>
              </w:rPr>
              <w:t xml:space="preserve">EBQ #8 – </w:t>
            </w:r>
            <w:r w:rsidR="00865B51" w:rsidRPr="00BE205D">
              <w:rPr>
                <w:rStyle w:val="Hyperlink"/>
                <w:b w:val="0"/>
                <w:bCs w:val="0"/>
                <w:i/>
                <w:iCs/>
                <w:color w:val="0070C0"/>
                <w:sz w:val="20"/>
                <w:szCs w:val="20"/>
              </w:rPr>
              <w:t>How much of an effect does predation have on PP productivity (fledging)?</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_Toc157060263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31</w:t>
            </w:r>
            <w:r w:rsidR="00865B51" w:rsidRPr="00BE205D">
              <w:rPr>
                <w:b w:val="0"/>
                <w:bCs w:val="0"/>
                <w:webHidden/>
                <w:color w:val="0070C0"/>
                <w:sz w:val="20"/>
                <w:szCs w:val="20"/>
              </w:rPr>
              <w:fldChar w:fldCharType="end"/>
            </w:r>
          </w:hyperlink>
        </w:p>
        <w:p w14:paraId="01616BC1" w14:textId="40A0CE97" w:rsidR="00865B51" w:rsidRPr="00BE205D" w:rsidRDefault="00441ABB">
          <w:pPr>
            <w:pStyle w:val="TOC1"/>
            <w:rPr>
              <w:rFonts w:eastAsiaTheme="minorEastAsia" w:cstheme="minorBidi"/>
              <w:b w:val="0"/>
              <w:bCs w:val="0"/>
              <w:color w:val="0070C0"/>
              <w:sz w:val="20"/>
              <w:szCs w:val="20"/>
            </w:rPr>
          </w:pPr>
          <w:hyperlink w:anchor="_Toc157060269" w:history="1">
            <w:r w:rsidR="00865B51" w:rsidRPr="00BE205D">
              <w:rPr>
                <w:rStyle w:val="Hyperlink"/>
                <w:b w:val="0"/>
                <w:bCs w:val="0"/>
                <w:color w:val="0070C0"/>
                <w:sz w:val="20"/>
                <w:szCs w:val="20"/>
              </w:rPr>
              <w:t xml:space="preserve">EBQ #9 – </w:t>
            </w:r>
            <w:r w:rsidR="00865B51" w:rsidRPr="00BE205D">
              <w:rPr>
                <w:rStyle w:val="Hyperlink"/>
                <w:b w:val="0"/>
                <w:bCs w:val="0"/>
                <w:i/>
                <w:iCs/>
                <w:color w:val="0070C0"/>
                <w:sz w:val="20"/>
                <w:szCs w:val="20"/>
              </w:rPr>
              <w:t>How effective is Program management at mitigating losses of PP productivity due to predation?</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_Toc157060269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33</w:t>
            </w:r>
            <w:r w:rsidR="00865B51" w:rsidRPr="00BE205D">
              <w:rPr>
                <w:b w:val="0"/>
                <w:bCs w:val="0"/>
                <w:webHidden/>
                <w:color w:val="0070C0"/>
                <w:sz w:val="20"/>
                <w:szCs w:val="20"/>
              </w:rPr>
              <w:fldChar w:fldCharType="end"/>
            </w:r>
          </w:hyperlink>
        </w:p>
        <w:p w14:paraId="250D9361" w14:textId="61CC81DD" w:rsidR="00865B51" w:rsidRPr="00BE205D" w:rsidRDefault="00441ABB">
          <w:pPr>
            <w:pStyle w:val="TOC1"/>
            <w:rPr>
              <w:rFonts w:eastAsiaTheme="minorEastAsia" w:cstheme="minorBidi"/>
              <w:b w:val="0"/>
              <w:bCs w:val="0"/>
              <w:color w:val="0070C0"/>
              <w:sz w:val="20"/>
              <w:szCs w:val="20"/>
            </w:rPr>
          </w:pPr>
          <w:hyperlink w:anchor="_Toc157060275" w:history="1">
            <w:r w:rsidR="00865B51" w:rsidRPr="00BE205D">
              <w:rPr>
                <w:rStyle w:val="Hyperlink"/>
                <w:b w:val="0"/>
                <w:bCs w:val="0"/>
                <w:color w:val="0070C0"/>
                <w:sz w:val="20"/>
                <w:szCs w:val="20"/>
              </w:rPr>
              <w:t xml:space="preserve">EBQ #10 – </w:t>
            </w:r>
            <w:r w:rsidR="00865B51" w:rsidRPr="00BE205D">
              <w:rPr>
                <w:rStyle w:val="Hyperlink"/>
                <w:b w:val="0"/>
                <w:bCs w:val="0"/>
                <w:i/>
                <w:iCs/>
                <w:color w:val="0070C0"/>
                <w:sz w:val="20"/>
                <w:szCs w:val="20"/>
              </w:rPr>
              <w:t>Wet meadows research (NOTE: this is a carryover task from the First Increment to specifically address the physical processes involved in wet meadow hydrology)</w:t>
            </w:r>
            <w:r w:rsidR="00865B51" w:rsidRPr="00BE205D">
              <w:rPr>
                <w:b w:val="0"/>
                <w:bCs w:val="0"/>
                <w:webHidden/>
                <w:color w:val="0070C0"/>
                <w:sz w:val="20"/>
                <w:szCs w:val="20"/>
              </w:rPr>
              <w:tab/>
            </w:r>
            <w:r w:rsidR="00865B51" w:rsidRPr="00BE205D">
              <w:rPr>
                <w:b w:val="0"/>
                <w:bCs w:val="0"/>
                <w:webHidden/>
                <w:color w:val="0070C0"/>
                <w:sz w:val="20"/>
                <w:szCs w:val="20"/>
              </w:rPr>
              <w:fldChar w:fldCharType="begin"/>
            </w:r>
            <w:r w:rsidR="00865B51" w:rsidRPr="00BE205D">
              <w:rPr>
                <w:b w:val="0"/>
                <w:bCs w:val="0"/>
                <w:webHidden/>
                <w:color w:val="0070C0"/>
                <w:sz w:val="20"/>
                <w:szCs w:val="20"/>
              </w:rPr>
              <w:instrText xml:space="preserve"> PAGEREF _Toc157060275 \h </w:instrText>
            </w:r>
            <w:r w:rsidR="00865B51" w:rsidRPr="00BE205D">
              <w:rPr>
                <w:b w:val="0"/>
                <w:bCs w:val="0"/>
                <w:webHidden/>
                <w:color w:val="0070C0"/>
                <w:sz w:val="20"/>
                <w:szCs w:val="20"/>
              </w:rPr>
            </w:r>
            <w:r w:rsidR="00865B51" w:rsidRPr="00BE205D">
              <w:rPr>
                <w:b w:val="0"/>
                <w:bCs w:val="0"/>
                <w:webHidden/>
                <w:color w:val="0070C0"/>
                <w:sz w:val="20"/>
                <w:szCs w:val="20"/>
              </w:rPr>
              <w:fldChar w:fldCharType="separate"/>
            </w:r>
            <w:r w:rsidR="00BD293E">
              <w:rPr>
                <w:b w:val="0"/>
                <w:bCs w:val="0"/>
                <w:webHidden/>
                <w:color w:val="0070C0"/>
                <w:sz w:val="20"/>
                <w:szCs w:val="20"/>
              </w:rPr>
              <w:t>35</w:t>
            </w:r>
            <w:r w:rsidR="00865B51" w:rsidRPr="00BE205D">
              <w:rPr>
                <w:b w:val="0"/>
                <w:bCs w:val="0"/>
                <w:webHidden/>
                <w:color w:val="0070C0"/>
                <w:sz w:val="20"/>
                <w:szCs w:val="20"/>
              </w:rPr>
              <w:fldChar w:fldCharType="end"/>
            </w:r>
          </w:hyperlink>
        </w:p>
        <w:p w14:paraId="7D58508A" w14:textId="52997054" w:rsidR="00865B51" w:rsidRPr="00BE205D" w:rsidRDefault="00441ABB">
          <w:pPr>
            <w:pStyle w:val="TOC1"/>
            <w:rPr>
              <w:rFonts w:eastAsiaTheme="minorEastAsia" w:cstheme="minorBidi"/>
              <w:b w:val="0"/>
              <w:bCs w:val="0"/>
              <w:color w:val="auto"/>
              <w:sz w:val="20"/>
              <w:szCs w:val="20"/>
            </w:rPr>
          </w:pPr>
          <w:hyperlink w:anchor="_Toc157060280" w:history="1">
            <w:r w:rsidR="00865B51" w:rsidRPr="00BE205D">
              <w:rPr>
                <w:rStyle w:val="Hyperlink"/>
                <w:sz w:val="20"/>
                <w:szCs w:val="20"/>
              </w:rPr>
              <w:t>Appendix A:</w:t>
            </w:r>
            <w:r w:rsidR="00865B51" w:rsidRPr="00044AA2">
              <w:rPr>
                <w:rStyle w:val="Hyperlink"/>
                <w:b w:val="0"/>
                <w:bCs w:val="0"/>
                <w:sz w:val="20"/>
                <w:szCs w:val="20"/>
              </w:rPr>
              <w:t xml:space="preserve"> Five-year Check-Ins on First Increment Learning</w:t>
            </w:r>
            <w:r w:rsidR="00865B51" w:rsidRPr="00044AA2">
              <w:rPr>
                <w:b w:val="0"/>
                <w:bCs w:val="0"/>
                <w:webHidden/>
                <w:sz w:val="20"/>
                <w:szCs w:val="20"/>
              </w:rPr>
              <w:tab/>
            </w:r>
            <w:r w:rsidR="00865B51" w:rsidRPr="00044AA2">
              <w:rPr>
                <w:b w:val="0"/>
                <w:bCs w:val="0"/>
                <w:webHidden/>
                <w:sz w:val="20"/>
                <w:szCs w:val="20"/>
              </w:rPr>
              <w:fldChar w:fldCharType="begin"/>
            </w:r>
            <w:r w:rsidR="00865B51" w:rsidRPr="00044AA2">
              <w:rPr>
                <w:b w:val="0"/>
                <w:bCs w:val="0"/>
                <w:webHidden/>
                <w:sz w:val="20"/>
                <w:szCs w:val="20"/>
              </w:rPr>
              <w:instrText xml:space="preserve"> PAGEREF _Toc157060280 \h </w:instrText>
            </w:r>
            <w:r w:rsidR="00865B51" w:rsidRPr="00044AA2">
              <w:rPr>
                <w:b w:val="0"/>
                <w:bCs w:val="0"/>
                <w:webHidden/>
                <w:sz w:val="20"/>
                <w:szCs w:val="20"/>
              </w:rPr>
            </w:r>
            <w:r w:rsidR="00865B51" w:rsidRPr="00044AA2">
              <w:rPr>
                <w:b w:val="0"/>
                <w:bCs w:val="0"/>
                <w:webHidden/>
                <w:sz w:val="20"/>
                <w:szCs w:val="20"/>
              </w:rPr>
              <w:fldChar w:fldCharType="separate"/>
            </w:r>
            <w:r w:rsidR="00BD293E">
              <w:rPr>
                <w:b w:val="0"/>
                <w:bCs w:val="0"/>
                <w:webHidden/>
                <w:sz w:val="20"/>
                <w:szCs w:val="20"/>
              </w:rPr>
              <w:t>37</w:t>
            </w:r>
            <w:r w:rsidR="00865B51" w:rsidRPr="00044AA2">
              <w:rPr>
                <w:b w:val="0"/>
                <w:bCs w:val="0"/>
                <w:webHidden/>
                <w:sz w:val="20"/>
                <w:szCs w:val="20"/>
              </w:rPr>
              <w:fldChar w:fldCharType="end"/>
            </w:r>
          </w:hyperlink>
        </w:p>
        <w:p w14:paraId="084FCA34" w14:textId="6E5FFADD" w:rsidR="00865B51" w:rsidRPr="00BE205D" w:rsidRDefault="00441ABB">
          <w:pPr>
            <w:pStyle w:val="TOC1"/>
            <w:rPr>
              <w:rFonts w:eastAsiaTheme="minorEastAsia" w:cstheme="minorBidi"/>
              <w:b w:val="0"/>
              <w:bCs w:val="0"/>
              <w:color w:val="auto"/>
              <w:sz w:val="20"/>
              <w:szCs w:val="20"/>
            </w:rPr>
          </w:pPr>
          <w:hyperlink w:anchor="_Toc157060287" w:history="1">
            <w:r w:rsidR="00865B51" w:rsidRPr="00BE205D">
              <w:rPr>
                <w:rStyle w:val="Hyperlink"/>
                <w:sz w:val="20"/>
                <w:szCs w:val="20"/>
              </w:rPr>
              <w:t>Appendix B:</w:t>
            </w:r>
            <w:r w:rsidR="00865B51" w:rsidRPr="00044AA2">
              <w:rPr>
                <w:rStyle w:val="Hyperlink"/>
                <w:b w:val="0"/>
                <w:bCs w:val="0"/>
                <w:sz w:val="20"/>
                <w:szCs w:val="20"/>
              </w:rPr>
              <w:t xml:space="preserve"> PRRIP Publications</w:t>
            </w:r>
            <w:r w:rsidR="00865B51" w:rsidRPr="00044AA2">
              <w:rPr>
                <w:b w:val="0"/>
                <w:bCs w:val="0"/>
                <w:webHidden/>
                <w:sz w:val="20"/>
                <w:szCs w:val="20"/>
              </w:rPr>
              <w:tab/>
            </w:r>
            <w:r w:rsidR="00865B51" w:rsidRPr="00044AA2">
              <w:rPr>
                <w:b w:val="0"/>
                <w:bCs w:val="0"/>
                <w:webHidden/>
                <w:sz w:val="20"/>
                <w:szCs w:val="20"/>
              </w:rPr>
              <w:fldChar w:fldCharType="begin"/>
            </w:r>
            <w:r w:rsidR="00865B51" w:rsidRPr="00044AA2">
              <w:rPr>
                <w:b w:val="0"/>
                <w:bCs w:val="0"/>
                <w:webHidden/>
                <w:sz w:val="20"/>
                <w:szCs w:val="20"/>
              </w:rPr>
              <w:instrText xml:space="preserve"> PAGEREF _Toc157060287 \h </w:instrText>
            </w:r>
            <w:r w:rsidR="00865B51" w:rsidRPr="00044AA2">
              <w:rPr>
                <w:b w:val="0"/>
                <w:bCs w:val="0"/>
                <w:webHidden/>
                <w:sz w:val="20"/>
                <w:szCs w:val="20"/>
              </w:rPr>
            </w:r>
            <w:r w:rsidR="00865B51" w:rsidRPr="00044AA2">
              <w:rPr>
                <w:b w:val="0"/>
                <w:bCs w:val="0"/>
                <w:webHidden/>
                <w:sz w:val="20"/>
                <w:szCs w:val="20"/>
              </w:rPr>
              <w:fldChar w:fldCharType="separate"/>
            </w:r>
            <w:r w:rsidR="00BD293E">
              <w:rPr>
                <w:b w:val="0"/>
                <w:bCs w:val="0"/>
                <w:webHidden/>
                <w:sz w:val="20"/>
                <w:szCs w:val="20"/>
              </w:rPr>
              <w:t>39</w:t>
            </w:r>
            <w:r w:rsidR="00865B51" w:rsidRPr="00044AA2">
              <w:rPr>
                <w:b w:val="0"/>
                <w:bCs w:val="0"/>
                <w:webHidden/>
                <w:sz w:val="20"/>
                <w:szCs w:val="20"/>
              </w:rPr>
              <w:fldChar w:fldCharType="end"/>
            </w:r>
          </w:hyperlink>
        </w:p>
        <w:p w14:paraId="780CE875" w14:textId="5B679E01" w:rsidR="00865B51" w:rsidRPr="00BE205D" w:rsidRDefault="00441ABB">
          <w:pPr>
            <w:pStyle w:val="TOC1"/>
            <w:rPr>
              <w:rFonts w:eastAsiaTheme="minorEastAsia" w:cstheme="minorBidi"/>
              <w:b w:val="0"/>
              <w:bCs w:val="0"/>
              <w:color w:val="auto"/>
              <w:sz w:val="20"/>
              <w:szCs w:val="20"/>
            </w:rPr>
          </w:pPr>
          <w:hyperlink w:anchor="_Toc157060288" w:history="1">
            <w:r w:rsidR="00865B51" w:rsidRPr="00BE205D">
              <w:rPr>
                <w:rStyle w:val="Hyperlink"/>
                <w:sz w:val="20"/>
                <w:szCs w:val="20"/>
              </w:rPr>
              <w:t>Appendix C:</w:t>
            </w:r>
            <w:r w:rsidR="00865B51" w:rsidRPr="00044AA2">
              <w:rPr>
                <w:rStyle w:val="Hyperlink"/>
                <w:b w:val="0"/>
                <w:bCs w:val="0"/>
                <w:sz w:val="20"/>
                <w:szCs w:val="20"/>
              </w:rPr>
              <w:t xml:space="preserve"> Additional Relevant Publications, Reports, and other Scientific Documents</w:t>
            </w:r>
            <w:r w:rsidR="00865B51" w:rsidRPr="00044AA2">
              <w:rPr>
                <w:b w:val="0"/>
                <w:bCs w:val="0"/>
                <w:webHidden/>
                <w:sz w:val="20"/>
                <w:szCs w:val="20"/>
              </w:rPr>
              <w:tab/>
            </w:r>
            <w:r w:rsidR="00865B51" w:rsidRPr="00044AA2">
              <w:rPr>
                <w:b w:val="0"/>
                <w:bCs w:val="0"/>
                <w:webHidden/>
                <w:sz w:val="20"/>
                <w:szCs w:val="20"/>
              </w:rPr>
              <w:fldChar w:fldCharType="begin"/>
            </w:r>
            <w:r w:rsidR="00865B51" w:rsidRPr="00044AA2">
              <w:rPr>
                <w:b w:val="0"/>
                <w:bCs w:val="0"/>
                <w:webHidden/>
                <w:sz w:val="20"/>
                <w:szCs w:val="20"/>
              </w:rPr>
              <w:instrText xml:space="preserve"> PAGEREF _Toc157060288 \h </w:instrText>
            </w:r>
            <w:r w:rsidR="00865B51" w:rsidRPr="00044AA2">
              <w:rPr>
                <w:b w:val="0"/>
                <w:bCs w:val="0"/>
                <w:webHidden/>
                <w:sz w:val="20"/>
                <w:szCs w:val="20"/>
              </w:rPr>
            </w:r>
            <w:r w:rsidR="00865B51" w:rsidRPr="00044AA2">
              <w:rPr>
                <w:b w:val="0"/>
                <w:bCs w:val="0"/>
                <w:webHidden/>
                <w:sz w:val="20"/>
                <w:szCs w:val="20"/>
              </w:rPr>
              <w:fldChar w:fldCharType="separate"/>
            </w:r>
            <w:r w:rsidR="00BD293E">
              <w:rPr>
                <w:b w:val="0"/>
                <w:bCs w:val="0"/>
                <w:webHidden/>
                <w:sz w:val="20"/>
                <w:szCs w:val="20"/>
              </w:rPr>
              <w:t>40</w:t>
            </w:r>
            <w:r w:rsidR="00865B51" w:rsidRPr="00044AA2">
              <w:rPr>
                <w:b w:val="0"/>
                <w:bCs w:val="0"/>
                <w:webHidden/>
                <w:sz w:val="20"/>
                <w:szCs w:val="20"/>
              </w:rPr>
              <w:fldChar w:fldCharType="end"/>
            </w:r>
          </w:hyperlink>
        </w:p>
        <w:p w14:paraId="223EB9DB" w14:textId="056F4C4E" w:rsidR="00865B51" w:rsidRPr="00BE205D" w:rsidRDefault="00441ABB">
          <w:pPr>
            <w:pStyle w:val="TOC1"/>
            <w:rPr>
              <w:rFonts w:eastAsiaTheme="minorEastAsia" w:cstheme="minorBidi"/>
              <w:b w:val="0"/>
              <w:bCs w:val="0"/>
              <w:color w:val="auto"/>
              <w:sz w:val="20"/>
              <w:szCs w:val="20"/>
            </w:rPr>
          </w:pPr>
          <w:hyperlink w:anchor="_Toc157060289" w:history="1">
            <w:r w:rsidR="00865B51" w:rsidRPr="00BE205D">
              <w:rPr>
                <w:rStyle w:val="Hyperlink"/>
                <w:sz w:val="20"/>
                <w:szCs w:val="20"/>
              </w:rPr>
              <w:t>A</w:t>
            </w:r>
            <w:r w:rsidR="00BE205D">
              <w:rPr>
                <w:rStyle w:val="Hyperlink"/>
                <w:sz w:val="20"/>
                <w:szCs w:val="20"/>
              </w:rPr>
              <w:t>ppendix</w:t>
            </w:r>
            <w:r w:rsidR="00865B51" w:rsidRPr="00BE205D">
              <w:rPr>
                <w:rStyle w:val="Hyperlink"/>
                <w:sz w:val="20"/>
                <w:szCs w:val="20"/>
              </w:rPr>
              <w:t xml:space="preserve"> D:</w:t>
            </w:r>
            <w:r w:rsidR="00865B51" w:rsidRPr="00044AA2">
              <w:rPr>
                <w:rStyle w:val="Hyperlink"/>
                <w:b w:val="0"/>
                <w:bCs w:val="0"/>
                <w:sz w:val="20"/>
                <w:szCs w:val="20"/>
              </w:rPr>
              <w:t xml:space="preserve"> PRRIP Progress – Land &amp; Water Milestone Summaries</w:t>
            </w:r>
            <w:r w:rsidR="00865B51" w:rsidRPr="00044AA2">
              <w:rPr>
                <w:b w:val="0"/>
                <w:bCs w:val="0"/>
                <w:webHidden/>
                <w:sz w:val="20"/>
                <w:szCs w:val="20"/>
              </w:rPr>
              <w:tab/>
            </w:r>
            <w:r w:rsidR="00865B51" w:rsidRPr="00044AA2">
              <w:rPr>
                <w:b w:val="0"/>
                <w:bCs w:val="0"/>
                <w:webHidden/>
                <w:sz w:val="20"/>
                <w:szCs w:val="20"/>
              </w:rPr>
              <w:fldChar w:fldCharType="begin"/>
            </w:r>
            <w:r w:rsidR="00865B51" w:rsidRPr="00044AA2">
              <w:rPr>
                <w:b w:val="0"/>
                <w:bCs w:val="0"/>
                <w:webHidden/>
                <w:sz w:val="20"/>
                <w:szCs w:val="20"/>
              </w:rPr>
              <w:instrText xml:space="preserve"> PAGEREF _Toc157060289 \h </w:instrText>
            </w:r>
            <w:r w:rsidR="00865B51" w:rsidRPr="00044AA2">
              <w:rPr>
                <w:b w:val="0"/>
                <w:bCs w:val="0"/>
                <w:webHidden/>
                <w:sz w:val="20"/>
                <w:szCs w:val="20"/>
              </w:rPr>
            </w:r>
            <w:r w:rsidR="00865B51" w:rsidRPr="00044AA2">
              <w:rPr>
                <w:b w:val="0"/>
                <w:bCs w:val="0"/>
                <w:webHidden/>
                <w:sz w:val="20"/>
                <w:szCs w:val="20"/>
              </w:rPr>
              <w:fldChar w:fldCharType="separate"/>
            </w:r>
            <w:r w:rsidR="00BD293E">
              <w:rPr>
                <w:b w:val="0"/>
                <w:bCs w:val="0"/>
                <w:webHidden/>
                <w:sz w:val="20"/>
                <w:szCs w:val="20"/>
              </w:rPr>
              <w:t>41</w:t>
            </w:r>
            <w:r w:rsidR="00865B51" w:rsidRPr="00044AA2">
              <w:rPr>
                <w:b w:val="0"/>
                <w:bCs w:val="0"/>
                <w:webHidden/>
                <w:sz w:val="20"/>
                <w:szCs w:val="20"/>
              </w:rPr>
              <w:fldChar w:fldCharType="end"/>
            </w:r>
          </w:hyperlink>
        </w:p>
        <w:p w14:paraId="5B6CC905" w14:textId="345E2A10"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290" w:history="1">
            <w:r w:rsidR="00865B51" w:rsidRPr="00BE205D">
              <w:rPr>
                <w:rStyle w:val="Hyperlink"/>
                <w:noProof/>
                <w:sz w:val="20"/>
                <w:szCs w:val="20"/>
              </w:rPr>
              <w:t>Land Milestone Summary</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_Toc157060290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41</w:t>
            </w:r>
            <w:r w:rsidR="00865B51" w:rsidRPr="00BE205D">
              <w:rPr>
                <w:noProof/>
                <w:webHidden/>
                <w:sz w:val="20"/>
                <w:szCs w:val="20"/>
              </w:rPr>
              <w:fldChar w:fldCharType="end"/>
            </w:r>
          </w:hyperlink>
        </w:p>
        <w:p w14:paraId="7768A313" w14:textId="2CDAEB41" w:rsidR="00865B51" w:rsidRPr="00BE205D" w:rsidRDefault="00441ABB">
          <w:pPr>
            <w:pStyle w:val="TOC2"/>
            <w:tabs>
              <w:tab w:val="right" w:leader="dot" w:pos="9350"/>
            </w:tabs>
            <w:rPr>
              <w:rFonts w:asciiTheme="minorHAnsi" w:eastAsiaTheme="minorEastAsia" w:hAnsiTheme="minorHAnsi"/>
              <w:noProof/>
              <w:sz w:val="20"/>
              <w:szCs w:val="20"/>
            </w:rPr>
          </w:pPr>
          <w:hyperlink w:anchor="_Toc157060291" w:history="1">
            <w:r w:rsidR="00865B51" w:rsidRPr="00BE205D">
              <w:rPr>
                <w:rStyle w:val="Hyperlink"/>
                <w:noProof/>
                <w:sz w:val="20"/>
                <w:szCs w:val="20"/>
              </w:rPr>
              <w:t>Water Milestone Summary</w:t>
            </w:r>
            <w:r w:rsidR="00865B51" w:rsidRPr="00BE205D">
              <w:rPr>
                <w:noProof/>
                <w:webHidden/>
                <w:sz w:val="20"/>
                <w:szCs w:val="20"/>
              </w:rPr>
              <w:tab/>
            </w:r>
            <w:r w:rsidR="00865B51" w:rsidRPr="00BE205D">
              <w:rPr>
                <w:noProof/>
                <w:webHidden/>
                <w:sz w:val="20"/>
                <w:szCs w:val="20"/>
              </w:rPr>
              <w:fldChar w:fldCharType="begin"/>
            </w:r>
            <w:r w:rsidR="00865B51" w:rsidRPr="00BE205D">
              <w:rPr>
                <w:noProof/>
                <w:webHidden/>
                <w:sz w:val="20"/>
                <w:szCs w:val="20"/>
              </w:rPr>
              <w:instrText xml:space="preserve"> PAGEREF _Toc157060291 \h </w:instrText>
            </w:r>
            <w:r w:rsidR="00865B51" w:rsidRPr="00BE205D">
              <w:rPr>
                <w:noProof/>
                <w:webHidden/>
                <w:sz w:val="20"/>
                <w:szCs w:val="20"/>
              </w:rPr>
            </w:r>
            <w:r w:rsidR="00865B51" w:rsidRPr="00BE205D">
              <w:rPr>
                <w:noProof/>
                <w:webHidden/>
                <w:sz w:val="20"/>
                <w:szCs w:val="20"/>
              </w:rPr>
              <w:fldChar w:fldCharType="separate"/>
            </w:r>
            <w:r w:rsidR="00BD293E">
              <w:rPr>
                <w:noProof/>
                <w:webHidden/>
                <w:sz w:val="20"/>
                <w:szCs w:val="20"/>
              </w:rPr>
              <w:t>44</w:t>
            </w:r>
            <w:r w:rsidR="00865B51" w:rsidRPr="00BE205D">
              <w:rPr>
                <w:noProof/>
                <w:webHidden/>
                <w:sz w:val="20"/>
                <w:szCs w:val="20"/>
              </w:rPr>
              <w:fldChar w:fldCharType="end"/>
            </w:r>
          </w:hyperlink>
        </w:p>
        <w:p w14:paraId="578B17A6" w14:textId="76C52F82" w:rsidR="00651B0B" w:rsidRPr="00ED7141" w:rsidRDefault="00C00158" w:rsidP="000C3E2D">
          <w:pPr>
            <w:suppressLineNumbers/>
            <w:rPr>
              <w:sz w:val="20"/>
              <w:szCs w:val="20"/>
            </w:rPr>
            <w:sectPr w:rsidR="00651B0B" w:rsidRPr="00ED7141" w:rsidSect="005B280F">
              <w:pgSz w:w="12240" w:h="15840"/>
              <w:pgMar w:top="1440" w:right="1440" w:bottom="1440" w:left="1440" w:header="720" w:footer="720" w:gutter="0"/>
              <w:lnNumType w:countBy="1" w:restart="newSection"/>
              <w:cols w:space="720"/>
              <w:docGrid w:linePitch="360"/>
            </w:sectPr>
          </w:pPr>
          <w:r w:rsidRPr="00BE205D">
            <w:rPr>
              <w:rFonts w:asciiTheme="minorHAnsi" w:hAnsiTheme="minorHAnsi" w:cstheme="minorHAnsi"/>
              <w:noProof/>
              <w:sz w:val="20"/>
              <w:szCs w:val="20"/>
            </w:rPr>
            <w:fldChar w:fldCharType="end"/>
          </w:r>
        </w:p>
      </w:sdtContent>
    </w:sdt>
    <w:p w14:paraId="02A448A9" w14:textId="760BEEA9" w:rsidR="000C3E2D" w:rsidRDefault="000C3E2D" w:rsidP="000C3E2D">
      <w:pPr>
        <w:pStyle w:val="Heading1"/>
        <w:suppressLineNumbers/>
      </w:pPr>
      <w:bookmarkStart w:id="4" w:name="_Toc157060183"/>
      <w:r>
        <w:t>Table of Abbreviations</w:t>
      </w:r>
      <w:bookmarkEnd w:id="4"/>
    </w:p>
    <w:tbl>
      <w:tblPr>
        <w:tblStyle w:val="TableGrid"/>
        <w:tblW w:w="9360" w:type="dxa"/>
        <w:jc w:val="center"/>
        <w:tblBorders>
          <w:left w:val="none" w:sz="0" w:space="0" w:color="auto"/>
          <w:right w:val="none" w:sz="0" w:space="0" w:color="auto"/>
        </w:tblBorders>
        <w:tblLook w:val="04A0" w:firstRow="1" w:lastRow="0" w:firstColumn="1" w:lastColumn="0" w:noHBand="0" w:noVBand="1"/>
      </w:tblPr>
      <w:tblGrid>
        <w:gridCol w:w="1975"/>
        <w:gridCol w:w="7385"/>
      </w:tblGrid>
      <w:tr w:rsidR="000124C5" w:rsidRPr="00B73E0B" w14:paraId="3DE6E8AD" w14:textId="77777777" w:rsidTr="000C3E2D">
        <w:trPr>
          <w:jc w:val="center"/>
        </w:trPr>
        <w:tc>
          <w:tcPr>
            <w:tcW w:w="1975" w:type="dxa"/>
          </w:tcPr>
          <w:p w14:paraId="39F54A04" w14:textId="650D096B" w:rsidR="000124C5" w:rsidRPr="000C3E2D" w:rsidRDefault="000124C5" w:rsidP="000C3E2D">
            <w:pPr>
              <w:pStyle w:val="NoSpacing"/>
              <w:rPr>
                <w:rFonts w:asciiTheme="minorHAnsi" w:hAnsiTheme="minorHAnsi" w:cstheme="minorHAnsi"/>
                <w:b/>
                <w:bCs/>
              </w:rPr>
            </w:pPr>
            <w:r>
              <w:rPr>
                <w:rFonts w:asciiTheme="minorHAnsi" w:hAnsiTheme="minorHAnsi" w:cstheme="minorHAnsi"/>
                <w:b/>
                <w:bCs/>
              </w:rPr>
              <w:t>AF</w:t>
            </w:r>
          </w:p>
        </w:tc>
        <w:tc>
          <w:tcPr>
            <w:tcW w:w="7385" w:type="dxa"/>
          </w:tcPr>
          <w:p w14:paraId="1225597E" w14:textId="3152C5D9" w:rsidR="000124C5" w:rsidRPr="00B73E0B" w:rsidRDefault="000124C5" w:rsidP="000C3E2D">
            <w:pPr>
              <w:pStyle w:val="NoSpacing"/>
              <w:jc w:val="both"/>
              <w:rPr>
                <w:rFonts w:asciiTheme="minorHAnsi" w:hAnsiTheme="minorHAnsi" w:cstheme="minorHAnsi"/>
              </w:rPr>
            </w:pPr>
            <w:r>
              <w:rPr>
                <w:rFonts w:asciiTheme="minorHAnsi" w:hAnsiTheme="minorHAnsi" w:cstheme="minorHAnsi"/>
              </w:rPr>
              <w:t>Acre-Feet</w:t>
            </w:r>
          </w:p>
        </w:tc>
      </w:tr>
      <w:tr w:rsidR="007A68D0" w:rsidRPr="00B73E0B" w14:paraId="12002FFB" w14:textId="77777777" w:rsidTr="000C3E2D">
        <w:trPr>
          <w:jc w:val="center"/>
        </w:trPr>
        <w:tc>
          <w:tcPr>
            <w:tcW w:w="1975" w:type="dxa"/>
          </w:tcPr>
          <w:p w14:paraId="4711CBC1"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AFY</w:t>
            </w:r>
          </w:p>
        </w:tc>
        <w:tc>
          <w:tcPr>
            <w:tcW w:w="7385" w:type="dxa"/>
          </w:tcPr>
          <w:p w14:paraId="10C288A1"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Acre-</w:t>
            </w:r>
            <w:r>
              <w:rPr>
                <w:rFonts w:asciiTheme="minorHAnsi" w:hAnsiTheme="minorHAnsi" w:cstheme="minorHAnsi"/>
              </w:rPr>
              <w:t>F</w:t>
            </w:r>
            <w:r w:rsidRPr="00B73E0B">
              <w:rPr>
                <w:rFonts w:asciiTheme="minorHAnsi" w:hAnsiTheme="minorHAnsi" w:cstheme="minorHAnsi"/>
              </w:rPr>
              <w:t>eet per Year</w:t>
            </w:r>
          </w:p>
        </w:tc>
      </w:tr>
      <w:tr w:rsidR="007A68D0" w:rsidRPr="00B73E0B" w14:paraId="4FEA3EFB" w14:textId="77777777" w:rsidTr="000C3E2D">
        <w:trPr>
          <w:jc w:val="center"/>
        </w:trPr>
        <w:tc>
          <w:tcPr>
            <w:tcW w:w="1975" w:type="dxa"/>
          </w:tcPr>
          <w:p w14:paraId="2C3D5919"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AHR</w:t>
            </w:r>
          </w:p>
        </w:tc>
        <w:tc>
          <w:tcPr>
            <w:tcW w:w="7385" w:type="dxa"/>
          </w:tcPr>
          <w:p w14:paraId="488FCE4D"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Associated Habitat Reach</w:t>
            </w:r>
          </w:p>
        </w:tc>
      </w:tr>
      <w:tr w:rsidR="007A68D0" w:rsidRPr="00B73E0B" w14:paraId="2CEC7AA8" w14:textId="77777777" w:rsidTr="000C3E2D">
        <w:trPr>
          <w:jc w:val="center"/>
        </w:trPr>
        <w:tc>
          <w:tcPr>
            <w:tcW w:w="1975" w:type="dxa"/>
          </w:tcPr>
          <w:p w14:paraId="687F094F"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AMP</w:t>
            </w:r>
          </w:p>
        </w:tc>
        <w:tc>
          <w:tcPr>
            <w:tcW w:w="7385" w:type="dxa"/>
          </w:tcPr>
          <w:p w14:paraId="6C950BA4"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Adaptive Management Plan</w:t>
            </w:r>
          </w:p>
        </w:tc>
      </w:tr>
      <w:tr w:rsidR="007A68D0" w:rsidRPr="00B73E0B" w14:paraId="2C99E21C" w14:textId="77777777" w:rsidTr="000C3E2D">
        <w:trPr>
          <w:jc w:val="center"/>
        </w:trPr>
        <w:tc>
          <w:tcPr>
            <w:tcW w:w="1975" w:type="dxa"/>
          </w:tcPr>
          <w:p w14:paraId="072A3E0D"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AMWG</w:t>
            </w:r>
          </w:p>
        </w:tc>
        <w:tc>
          <w:tcPr>
            <w:tcW w:w="7385" w:type="dxa"/>
          </w:tcPr>
          <w:p w14:paraId="7A9B22FB"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Adaptive Management Working Group</w:t>
            </w:r>
          </w:p>
        </w:tc>
      </w:tr>
      <w:tr w:rsidR="007A68D0" w:rsidRPr="00B73E0B" w14:paraId="4EAAD8D7" w14:textId="77777777" w:rsidTr="000C3E2D">
        <w:trPr>
          <w:jc w:val="center"/>
        </w:trPr>
        <w:tc>
          <w:tcPr>
            <w:tcW w:w="1975" w:type="dxa"/>
          </w:tcPr>
          <w:p w14:paraId="26840771"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AWB</w:t>
            </w:r>
          </w:p>
        </w:tc>
        <w:tc>
          <w:tcPr>
            <w:tcW w:w="7385" w:type="dxa"/>
          </w:tcPr>
          <w:p w14:paraId="321E4787"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Aransas-Wood Buffalo Whooping Crane Population</w:t>
            </w:r>
          </w:p>
        </w:tc>
      </w:tr>
      <w:tr w:rsidR="007A68D0" w:rsidRPr="00B73E0B" w14:paraId="47ACB7F4" w14:textId="77777777" w:rsidTr="000C3E2D">
        <w:trPr>
          <w:jc w:val="center"/>
        </w:trPr>
        <w:tc>
          <w:tcPr>
            <w:tcW w:w="1975" w:type="dxa"/>
          </w:tcPr>
          <w:p w14:paraId="0B4D7EEF"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BPE</w:t>
            </w:r>
          </w:p>
        </w:tc>
        <w:tc>
          <w:tcPr>
            <w:tcW w:w="7385" w:type="dxa"/>
          </w:tcPr>
          <w:p w14:paraId="370B4D99" w14:textId="77777777" w:rsidR="007A68D0" w:rsidRDefault="007A68D0" w:rsidP="000C3E2D">
            <w:pPr>
              <w:pStyle w:val="NoSpacing"/>
              <w:jc w:val="both"/>
              <w:rPr>
                <w:rFonts w:asciiTheme="minorHAnsi" w:hAnsiTheme="minorHAnsi" w:cstheme="minorHAnsi"/>
              </w:rPr>
            </w:pPr>
            <w:r>
              <w:rPr>
                <w:rFonts w:asciiTheme="minorHAnsi" w:hAnsiTheme="minorHAnsi" w:cstheme="minorHAnsi"/>
              </w:rPr>
              <w:t>Breeding Pair Estimate</w:t>
            </w:r>
          </w:p>
        </w:tc>
      </w:tr>
      <w:tr w:rsidR="007A68D0" w:rsidRPr="00B73E0B" w14:paraId="6735F6CB" w14:textId="77777777" w:rsidTr="000C3E2D">
        <w:trPr>
          <w:jc w:val="center"/>
        </w:trPr>
        <w:tc>
          <w:tcPr>
            <w:tcW w:w="1975" w:type="dxa"/>
          </w:tcPr>
          <w:p w14:paraId="4819EF85"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CLMU</w:t>
            </w:r>
          </w:p>
        </w:tc>
        <w:tc>
          <w:tcPr>
            <w:tcW w:w="7385" w:type="dxa"/>
          </w:tcPr>
          <w:p w14:paraId="2606A007" w14:textId="77777777" w:rsidR="007A68D0" w:rsidRDefault="007A68D0" w:rsidP="000C3E2D">
            <w:pPr>
              <w:pStyle w:val="NoSpacing"/>
              <w:jc w:val="both"/>
              <w:rPr>
                <w:rFonts w:asciiTheme="minorHAnsi" w:hAnsiTheme="minorHAnsi" w:cstheme="minorHAnsi"/>
              </w:rPr>
            </w:pPr>
            <w:r>
              <w:rPr>
                <w:rFonts w:asciiTheme="minorHAnsi" w:hAnsiTheme="minorHAnsi" w:cstheme="minorHAnsi"/>
              </w:rPr>
              <w:t>Central Lowlands Management Unit</w:t>
            </w:r>
          </w:p>
        </w:tc>
      </w:tr>
      <w:tr w:rsidR="007A68D0" w:rsidRPr="00B73E0B" w14:paraId="3BFCC157" w14:textId="77777777" w:rsidTr="000C3E2D">
        <w:trPr>
          <w:jc w:val="center"/>
        </w:trPr>
        <w:tc>
          <w:tcPr>
            <w:tcW w:w="1975" w:type="dxa"/>
          </w:tcPr>
          <w:p w14:paraId="1C49CA2D"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CPR</w:t>
            </w:r>
          </w:p>
        </w:tc>
        <w:tc>
          <w:tcPr>
            <w:tcW w:w="7385" w:type="dxa"/>
          </w:tcPr>
          <w:p w14:paraId="55DDE08F" w14:textId="77777777" w:rsidR="007A68D0" w:rsidRDefault="007A68D0" w:rsidP="000C3E2D">
            <w:pPr>
              <w:pStyle w:val="NoSpacing"/>
              <w:jc w:val="both"/>
              <w:rPr>
                <w:rFonts w:asciiTheme="minorHAnsi" w:hAnsiTheme="minorHAnsi" w:cstheme="minorHAnsi"/>
              </w:rPr>
            </w:pPr>
            <w:r>
              <w:rPr>
                <w:rFonts w:asciiTheme="minorHAnsi" w:hAnsiTheme="minorHAnsi" w:cstheme="minorHAnsi"/>
              </w:rPr>
              <w:t>Central Platte River</w:t>
            </w:r>
          </w:p>
        </w:tc>
      </w:tr>
      <w:tr w:rsidR="007A68D0" w:rsidRPr="00B73E0B" w14:paraId="0D5727B1" w14:textId="77777777" w:rsidTr="000C3E2D">
        <w:trPr>
          <w:jc w:val="center"/>
        </w:trPr>
        <w:tc>
          <w:tcPr>
            <w:tcW w:w="1975" w:type="dxa"/>
          </w:tcPr>
          <w:p w14:paraId="6A91F5F4"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EBQ</w:t>
            </w:r>
          </w:p>
        </w:tc>
        <w:tc>
          <w:tcPr>
            <w:tcW w:w="7385" w:type="dxa"/>
          </w:tcPr>
          <w:p w14:paraId="7C957930"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 xml:space="preserve">Extension </w:t>
            </w:r>
            <w:r w:rsidRPr="00B73E0B">
              <w:rPr>
                <w:rFonts w:asciiTheme="minorHAnsi" w:hAnsiTheme="minorHAnsi" w:cstheme="minorHAnsi"/>
              </w:rPr>
              <w:t>Big Question</w:t>
            </w:r>
          </w:p>
        </w:tc>
      </w:tr>
      <w:tr w:rsidR="007A68D0" w:rsidRPr="00B73E0B" w14:paraId="54AFE988" w14:textId="77777777" w:rsidTr="000C3E2D">
        <w:trPr>
          <w:jc w:val="center"/>
        </w:trPr>
        <w:tc>
          <w:tcPr>
            <w:tcW w:w="1975" w:type="dxa"/>
          </w:tcPr>
          <w:p w14:paraId="639A7183"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EDO</w:t>
            </w:r>
          </w:p>
        </w:tc>
        <w:tc>
          <w:tcPr>
            <w:tcW w:w="7385" w:type="dxa"/>
          </w:tcPr>
          <w:p w14:paraId="3701A1FB"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Executive Director’s Office</w:t>
            </w:r>
          </w:p>
        </w:tc>
      </w:tr>
      <w:tr w:rsidR="007A68D0" w:rsidRPr="00B73E0B" w14:paraId="0F77D369" w14:textId="77777777" w:rsidTr="000C3E2D">
        <w:trPr>
          <w:jc w:val="center"/>
        </w:trPr>
        <w:tc>
          <w:tcPr>
            <w:tcW w:w="1975" w:type="dxa"/>
          </w:tcPr>
          <w:p w14:paraId="7B9EEDF4"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FSM</w:t>
            </w:r>
          </w:p>
        </w:tc>
        <w:tc>
          <w:tcPr>
            <w:tcW w:w="7385" w:type="dxa"/>
          </w:tcPr>
          <w:p w14:paraId="1B1BAAE5"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Flow-Sediment-Mechanical</w:t>
            </w:r>
          </w:p>
        </w:tc>
      </w:tr>
      <w:tr w:rsidR="007A68D0" w:rsidRPr="00B73E0B" w14:paraId="2A57F76A" w14:textId="77777777" w:rsidTr="000C3E2D">
        <w:trPr>
          <w:jc w:val="center"/>
        </w:trPr>
        <w:tc>
          <w:tcPr>
            <w:tcW w:w="1975" w:type="dxa"/>
          </w:tcPr>
          <w:p w14:paraId="02F609D0"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GC</w:t>
            </w:r>
          </w:p>
        </w:tc>
        <w:tc>
          <w:tcPr>
            <w:tcW w:w="7385" w:type="dxa"/>
          </w:tcPr>
          <w:p w14:paraId="33E3198D"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Governance Committee</w:t>
            </w:r>
          </w:p>
        </w:tc>
      </w:tr>
      <w:tr w:rsidR="007A68D0" w:rsidRPr="00B73E0B" w14:paraId="74FFF5A2" w14:textId="77777777" w:rsidTr="000C3E2D">
        <w:trPr>
          <w:jc w:val="center"/>
        </w:trPr>
        <w:tc>
          <w:tcPr>
            <w:tcW w:w="1975" w:type="dxa"/>
          </w:tcPr>
          <w:p w14:paraId="0BBB690A"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GPMU</w:t>
            </w:r>
          </w:p>
        </w:tc>
        <w:tc>
          <w:tcPr>
            <w:tcW w:w="7385" w:type="dxa"/>
          </w:tcPr>
          <w:p w14:paraId="2FB95BB5"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Great Plains Management Unit</w:t>
            </w:r>
          </w:p>
        </w:tc>
      </w:tr>
      <w:tr w:rsidR="007A68D0" w:rsidRPr="00B73E0B" w14:paraId="18C3C324" w14:textId="77777777" w:rsidTr="000C3E2D">
        <w:trPr>
          <w:jc w:val="center"/>
        </w:trPr>
        <w:tc>
          <w:tcPr>
            <w:tcW w:w="1975" w:type="dxa"/>
          </w:tcPr>
          <w:p w14:paraId="1A7F419D" w14:textId="77777777" w:rsidR="007A68D0" w:rsidRPr="000C3E2D" w:rsidRDefault="007A68D0" w:rsidP="000C3E2D">
            <w:pPr>
              <w:pStyle w:val="NoSpacing"/>
              <w:rPr>
                <w:rFonts w:asciiTheme="minorHAnsi" w:hAnsiTheme="minorHAnsi" w:cstheme="minorHAnsi"/>
                <w:b/>
                <w:bCs/>
              </w:rPr>
            </w:pPr>
            <w:proofErr w:type="spellStart"/>
            <w:r w:rsidRPr="000C3E2D">
              <w:rPr>
                <w:rFonts w:asciiTheme="minorHAnsi" w:hAnsiTheme="minorHAnsi" w:cstheme="minorHAnsi"/>
                <w:b/>
                <w:bCs/>
              </w:rPr>
              <w:t>GTseq</w:t>
            </w:r>
            <w:proofErr w:type="spellEnd"/>
          </w:p>
        </w:tc>
        <w:tc>
          <w:tcPr>
            <w:tcW w:w="7385" w:type="dxa"/>
          </w:tcPr>
          <w:p w14:paraId="1F04DDF5"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Genotyping-in-Thousands by sequencing</w:t>
            </w:r>
          </w:p>
        </w:tc>
      </w:tr>
      <w:tr w:rsidR="007A68D0" w:rsidRPr="00B73E0B" w14:paraId="19E64F62" w14:textId="77777777" w:rsidTr="000C3E2D">
        <w:trPr>
          <w:jc w:val="center"/>
        </w:trPr>
        <w:tc>
          <w:tcPr>
            <w:tcW w:w="1975" w:type="dxa"/>
          </w:tcPr>
          <w:p w14:paraId="29220C54"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IHMU</w:t>
            </w:r>
          </w:p>
        </w:tc>
        <w:tc>
          <w:tcPr>
            <w:tcW w:w="7385" w:type="dxa"/>
          </w:tcPr>
          <w:p w14:paraId="1A3FBA99"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Interior Highlands Management Unit</w:t>
            </w:r>
          </w:p>
        </w:tc>
      </w:tr>
      <w:tr w:rsidR="007A68D0" w:rsidRPr="00B73E0B" w14:paraId="579B5F8A" w14:textId="77777777" w:rsidTr="000C3E2D">
        <w:trPr>
          <w:jc w:val="center"/>
        </w:trPr>
        <w:tc>
          <w:tcPr>
            <w:tcW w:w="1975" w:type="dxa"/>
          </w:tcPr>
          <w:p w14:paraId="3380273D"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ISAC</w:t>
            </w:r>
          </w:p>
        </w:tc>
        <w:tc>
          <w:tcPr>
            <w:tcW w:w="7385" w:type="dxa"/>
          </w:tcPr>
          <w:p w14:paraId="566E1152" w14:textId="364087F6"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Independent Scien</w:t>
            </w:r>
            <w:r w:rsidR="00665123">
              <w:rPr>
                <w:rFonts w:asciiTheme="minorHAnsi" w:hAnsiTheme="minorHAnsi" w:cstheme="minorHAnsi"/>
              </w:rPr>
              <w:t>tific</w:t>
            </w:r>
            <w:r w:rsidRPr="00B73E0B">
              <w:rPr>
                <w:rFonts w:asciiTheme="minorHAnsi" w:hAnsiTheme="minorHAnsi" w:cstheme="minorHAnsi"/>
              </w:rPr>
              <w:t xml:space="preserve"> Advisory Committee</w:t>
            </w:r>
          </w:p>
        </w:tc>
      </w:tr>
      <w:tr w:rsidR="007A68D0" w:rsidRPr="00B73E0B" w14:paraId="7438EF18" w14:textId="77777777" w:rsidTr="000C3E2D">
        <w:trPr>
          <w:jc w:val="center"/>
        </w:trPr>
        <w:tc>
          <w:tcPr>
            <w:tcW w:w="1975" w:type="dxa"/>
          </w:tcPr>
          <w:p w14:paraId="7EAD086C"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J-2</w:t>
            </w:r>
          </w:p>
        </w:tc>
        <w:tc>
          <w:tcPr>
            <w:tcW w:w="7385" w:type="dxa"/>
          </w:tcPr>
          <w:p w14:paraId="4F290886"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Johnson-2 Hydropower Return</w:t>
            </w:r>
          </w:p>
        </w:tc>
      </w:tr>
      <w:tr w:rsidR="007A68D0" w:rsidRPr="00B73E0B" w14:paraId="484CD672" w14:textId="77777777" w:rsidTr="000C3E2D">
        <w:trPr>
          <w:jc w:val="center"/>
        </w:trPr>
        <w:tc>
          <w:tcPr>
            <w:tcW w:w="1975" w:type="dxa"/>
          </w:tcPr>
          <w:p w14:paraId="47395392"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LPR</w:t>
            </w:r>
          </w:p>
        </w:tc>
        <w:tc>
          <w:tcPr>
            <w:tcW w:w="7385" w:type="dxa"/>
          </w:tcPr>
          <w:p w14:paraId="7D47D895" w14:textId="77777777" w:rsidR="007A68D0" w:rsidRDefault="007A68D0" w:rsidP="000C3E2D">
            <w:pPr>
              <w:pStyle w:val="NoSpacing"/>
              <w:jc w:val="both"/>
              <w:rPr>
                <w:rFonts w:asciiTheme="minorHAnsi" w:hAnsiTheme="minorHAnsi" w:cstheme="minorHAnsi"/>
              </w:rPr>
            </w:pPr>
            <w:r>
              <w:rPr>
                <w:rFonts w:asciiTheme="minorHAnsi" w:hAnsiTheme="minorHAnsi" w:cstheme="minorHAnsi"/>
              </w:rPr>
              <w:t>Lower Platte River</w:t>
            </w:r>
          </w:p>
        </w:tc>
      </w:tr>
      <w:tr w:rsidR="007A68D0" w:rsidRPr="00B73E0B" w14:paraId="3F29C06A" w14:textId="77777777" w:rsidTr="000C3E2D">
        <w:trPr>
          <w:jc w:val="center"/>
        </w:trPr>
        <w:tc>
          <w:tcPr>
            <w:tcW w:w="1975" w:type="dxa"/>
          </w:tcPr>
          <w:p w14:paraId="46CBB93E"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LT</w:t>
            </w:r>
          </w:p>
        </w:tc>
        <w:tc>
          <w:tcPr>
            <w:tcW w:w="7385" w:type="dxa"/>
          </w:tcPr>
          <w:p w14:paraId="108E5399"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Interior Least Tern</w:t>
            </w:r>
          </w:p>
        </w:tc>
      </w:tr>
      <w:tr w:rsidR="007A68D0" w:rsidRPr="00B73E0B" w14:paraId="7E3EE735" w14:textId="77777777" w:rsidTr="000C3E2D">
        <w:trPr>
          <w:jc w:val="center"/>
        </w:trPr>
        <w:tc>
          <w:tcPr>
            <w:tcW w:w="1975" w:type="dxa"/>
          </w:tcPr>
          <w:p w14:paraId="3FC78650"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LTPP</w:t>
            </w:r>
          </w:p>
        </w:tc>
        <w:tc>
          <w:tcPr>
            <w:tcW w:w="7385" w:type="dxa"/>
          </w:tcPr>
          <w:p w14:paraId="647882CD"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Least Tern and Piping Plover</w:t>
            </w:r>
          </w:p>
        </w:tc>
      </w:tr>
      <w:tr w:rsidR="007A68D0" w:rsidRPr="00B73E0B" w14:paraId="22FD11D4" w14:textId="77777777" w:rsidTr="000C3E2D">
        <w:trPr>
          <w:jc w:val="center"/>
        </w:trPr>
        <w:tc>
          <w:tcPr>
            <w:tcW w:w="1975" w:type="dxa"/>
          </w:tcPr>
          <w:p w14:paraId="4E38DC4E"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MUCW</w:t>
            </w:r>
          </w:p>
        </w:tc>
        <w:tc>
          <w:tcPr>
            <w:tcW w:w="7385" w:type="dxa"/>
          </w:tcPr>
          <w:p w14:paraId="76688682"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Maximum Unobstructed Channel Width</w:t>
            </w:r>
          </w:p>
        </w:tc>
      </w:tr>
      <w:tr w:rsidR="007A68D0" w:rsidRPr="00B73E0B" w14:paraId="0C404AE1" w14:textId="77777777" w:rsidTr="000C3E2D">
        <w:trPr>
          <w:jc w:val="center"/>
        </w:trPr>
        <w:tc>
          <w:tcPr>
            <w:tcW w:w="1975" w:type="dxa"/>
          </w:tcPr>
          <w:p w14:paraId="61A1BB5E"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NF</w:t>
            </w:r>
          </w:p>
        </w:tc>
        <w:tc>
          <w:tcPr>
            <w:tcW w:w="7385" w:type="dxa"/>
          </w:tcPr>
          <w:p w14:paraId="149DFEAF"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Nearest Forest</w:t>
            </w:r>
          </w:p>
        </w:tc>
      </w:tr>
      <w:tr w:rsidR="007A68D0" w:rsidRPr="00B73E0B" w14:paraId="03D30356" w14:textId="77777777" w:rsidTr="000C3E2D">
        <w:trPr>
          <w:jc w:val="center"/>
        </w:trPr>
        <w:tc>
          <w:tcPr>
            <w:tcW w:w="1975" w:type="dxa"/>
          </w:tcPr>
          <w:p w14:paraId="19856246"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OCSW</w:t>
            </w:r>
          </w:p>
        </w:tc>
        <w:tc>
          <w:tcPr>
            <w:tcW w:w="7385" w:type="dxa"/>
          </w:tcPr>
          <w:p w14:paraId="2D17C450" w14:textId="77777777" w:rsidR="007A68D0" w:rsidRDefault="007A68D0" w:rsidP="000C3E2D">
            <w:pPr>
              <w:pStyle w:val="NoSpacing"/>
              <w:jc w:val="both"/>
              <w:rPr>
                <w:rFonts w:asciiTheme="minorHAnsi" w:hAnsiTheme="minorHAnsi" w:cstheme="minorHAnsi"/>
              </w:rPr>
            </w:pPr>
            <w:r>
              <w:rPr>
                <w:rFonts w:asciiTheme="minorHAnsi" w:hAnsiTheme="minorHAnsi" w:cstheme="minorHAnsi"/>
              </w:rPr>
              <w:t>Off-Channel Sand and Water</w:t>
            </w:r>
          </w:p>
        </w:tc>
      </w:tr>
      <w:tr w:rsidR="007A68D0" w:rsidRPr="00B73E0B" w14:paraId="4D1A45A2" w14:textId="77777777" w:rsidTr="000C3E2D">
        <w:trPr>
          <w:jc w:val="center"/>
        </w:trPr>
        <w:tc>
          <w:tcPr>
            <w:tcW w:w="1975" w:type="dxa"/>
          </w:tcPr>
          <w:p w14:paraId="5133BEA7"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PP</w:t>
            </w:r>
          </w:p>
        </w:tc>
        <w:tc>
          <w:tcPr>
            <w:tcW w:w="7385" w:type="dxa"/>
          </w:tcPr>
          <w:p w14:paraId="4925E04A"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Piping Plover</w:t>
            </w:r>
          </w:p>
        </w:tc>
      </w:tr>
      <w:tr w:rsidR="007A68D0" w:rsidRPr="00B73E0B" w14:paraId="331DF935" w14:textId="77777777" w:rsidTr="000C3E2D">
        <w:trPr>
          <w:jc w:val="center"/>
        </w:trPr>
        <w:tc>
          <w:tcPr>
            <w:tcW w:w="1975" w:type="dxa"/>
          </w:tcPr>
          <w:p w14:paraId="03EE2E06"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PRRIP or Program</w:t>
            </w:r>
          </w:p>
        </w:tc>
        <w:tc>
          <w:tcPr>
            <w:tcW w:w="7385" w:type="dxa"/>
          </w:tcPr>
          <w:p w14:paraId="63684B4F"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Platte River Recovery Implementation Program</w:t>
            </w:r>
          </w:p>
        </w:tc>
      </w:tr>
      <w:tr w:rsidR="007A68D0" w:rsidRPr="00B73E0B" w14:paraId="49192374" w14:textId="77777777" w:rsidTr="000C3E2D">
        <w:trPr>
          <w:jc w:val="center"/>
        </w:trPr>
        <w:tc>
          <w:tcPr>
            <w:tcW w:w="1975" w:type="dxa"/>
          </w:tcPr>
          <w:p w14:paraId="1FEE2220"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PS</w:t>
            </w:r>
          </w:p>
        </w:tc>
        <w:tc>
          <w:tcPr>
            <w:tcW w:w="7385" w:type="dxa"/>
          </w:tcPr>
          <w:p w14:paraId="0D9FDE20"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Pallid Sturgeon</w:t>
            </w:r>
          </w:p>
        </w:tc>
      </w:tr>
      <w:tr w:rsidR="007A68D0" w:rsidRPr="00B73E0B" w14:paraId="6C8660A5" w14:textId="77777777" w:rsidTr="000C3E2D">
        <w:trPr>
          <w:jc w:val="center"/>
        </w:trPr>
        <w:tc>
          <w:tcPr>
            <w:tcW w:w="1975" w:type="dxa"/>
          </w:tcPr>
          <w:p w14:paraId="6471EAF6"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SDHF</w:t>
            </w:r>
          </w:p>
        </w:tc>
        <w:tc>
          <w:tcPr>
            <w:tcW w:w="7385" w:type="dxa"/>
          </w:tcPr>
          <w:p w14:paraId="014FC6B3"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Short-Duration High Flow</w:t>
            </w:r>
          </w:p>
        </w:tc>
      </w:tr>
      <w:tr w:rsidR="007A68D0" w:rsidRPr="00B73E0B" w14:paraId="29E3D06B" w14:textId="77777777" w:rsidTr="000C3E2D">
        <w:trPr>
          <w:jc w:val="center"/>
        </w:trPr>
        <w:tc>
          <w:tcPr>
            <w:tcW w:w="1975" w:type="dxa"/>
          </w:tcPr>
          <w:p w14:paraId="7A368CCE"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SDM</w:t>
            </w:r>
          </w:p>
        </w:tc>
        <w:tc>
          <w:tcPr>
            <w:tcW w:w="7385" w:type="dxa"/>
          </w:tcPr>
          <w:p w14:paraId="19C4B1C0"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Structured Decision-Making</w:t>
            </w:r>
          </w:p>
        </w:tc>
      </w:tr>
      <w:tr w:rsidR="007A68D0" w:rsidRPr="00B73E0B" w14:paraId="74D6064E" w14:textId="77777777" w:rsidTr="000C3E2D">
        <w:trPr>
          <w:jc w:val="center"/>
        </w:trPr>
        <w:tc>
          <w:tcPr>
            <w:tcW w:w="1975" w:type="dxa"/>
          </w:tcPr>
          <w:p w14:paraId="23BF5F28"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SIU</w:t>
            </w:r>
          </w:p>
        </w:tc>
        <w:tc>
          <w:tcPr>
            <w:tcW w:w="7385" w:type="dxa"/>
          </w:tcPr>
          <w:p w14:paraId="7FB2438A" w14:textId="3909F5FE" w:rsidR="007A68D0" w:rsidRDefault="007A68D0" w:rsidP="000C3E2D">
            <w:pPr>
              <w:pStyle w:val="NoSpacing"/>
              <w:jc w:val="both"/>
              <w:rPr>
                <w:rFonts w:asciiTheme="minorHAnsi" w:hAnsiTheme="minorHAnsi" w:cstheme="minorHAnsi"/>
              </w:rPr>
            </w:pPr>
            <w:r>
              <w:rPr>
                <w:rFonts w:asciiTheme="minorHAnsi" w:hAnsiTheme="minorHAnsi" w:cstheme="minorHAnsi"/>
              </w:rPr>
              <w:t>Southern Illinois University</w:t>
            </w:r>
            <w:r w:rsidR="00AC55BB">
              <w:rPr>
                <w:rFonts w:asciiTheme="minorHAnsi" w:hAnsiTheme="minorHAnsi" w:cstheme="minorHAnsi"/>
              </w:rPr>
              <w:t xml:space="preserve"> – </w:t>
            </w:r>
            <w:r>
              <w:rPr>
                <w:rFonts w:asciiTheme="minorHAnsi" w:hAnsiTheme="minorHAnsi" w:cstheme="minorHAnsi"/>
              </w:rPr>
              <w:t>Carbondale</w:t>
            </w:r>
          </w:p>
        </w:tc>
      </w:tr>
      <w:tr w:rsidR="007A68D0" w:rsidRPr="00B73E0B" w14:paraId="6B4B78C9" w14:textId="77777777" w:rsidTr="000C3E2D">
        <w:trPr>
          <w:jc w:val="center"/>
        </w:trPr>
        <w:tc>
          <w:tcPr>
            <w:tcW w:w="1975" w:type="dxa"/>
          </w:tcPr>
          <w:p w14:paraId="51BCE43B"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SNPs</w:t>
            </w:r>
          </w:p>
        </w:tc>
        <w:tc>
          <w:tcPr>
            <w:tcW w:w="7385" w:type="dxa"/>
          </w:tcPr>
          <w:p w14:paraId="568C9C0D" w14:textId="77777777"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Single Nucleotide Polymorphisms</w:t>
            </w:r>
          </w:p>
        </w:tc>
      </w:tr>
      <w:tr w:rsidR="007A68D0" w:rsidRPr="00B73E0B" w14:paraId="0D6EE6E5" w14:textId="77777777" w:rsidTr="000C3E2D">
        <w:trPr>
          <w:jc w:val="center"/>
        </w:trPr>
        <w:tc>
          <w:tcPr>
            <w:tcW w:w="1975" w:type="dxa"/>
          </w:tcPr>
          <w:p w14:paraId="49659D99" w14:textId="77777777" w:rsidR="007A68D0" w:rsidRPr="000C3E2D" w:rsidRDefault="007A68D0" w:rsidP="000C3E2D">
            <w:pPr>
              <w:pStyle w:val="NoSpacing"/>
              <w:rPr>
                <w:rFonts w:asciiTheme="minorHAnsi" w:hAnsiTheme="minorHAnsi" w:cstheme="minorHAnsi"/>
                <w:b/>
                <w:bCs/>
              </w:rPr>
            </w:pPr>
            <w:proofErr w:type="spellStart"/>
            <w:r w:rsidRPr="000C3E2D">
              <w:rPr>
                <w:rFonts w:asciiTheme="minorHAnsi" w:hAnsiTheme="minorHAnsi" w:cstheme="minorHAnsi"/>
                <w:b/>
                <w:bCs/>
              </w:rPr>
              <w:t>SoPR</w:t>
            </w:r>
            <w:proofErr w:type="spellEnd"/>
          </w:p>
        </w:tc>
        <w:tc>
          <w:tcPr>
            <w:tcW w:w="7385" w:type="dxa"/>
          </w:tcPr>
          <w:p w14:paraId="5A5BC3AF"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State of the Platte Report</w:t>
            </w:r>
          </w:p>
        </w:tc>
      </w:tr>
      <w:tr w:rsidR="007A68D0" w:rsidRPr="00B73E0B" w14:paraId="52D5E64A" w14:textId="77777777" w:rsidTr="000C3E2D">
        <w:trPr>
          <w:jc w:val="center"/>
        </w:trPr>
        <w:tc>
          <w:tcPr>
            <w:tcW w:w="1975" w:type="dxa"/>
          </w:tcPr>
          <w:p w14:paraId="729C9C41"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TAC</w:t>
            </w:r>
          </w:p>
        </w:tc>
        <w:tc>
          <w:tcPr>
            <w:tcW w:w="7385" w:type="dxa"/>
          </w:tcPr>
          <w:p w14:paraId="7D236B3C"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Technical Advisory Committee</w:t>
            </w:r>
          </w:p>
        </w:tc>
      </w:tr>
      <w:tr w:rsidR="009E45BE" w:rsidRPr="00B73E0B" w14:paraId="08BA66F1" w14:textId="77777777" w:rsidTr="000C3E2D">
        <w:trPr>
          <w:jc w:val="center"/>
        </w:trPr>
        <w:tc>
          <w:tcPr>
            <w:tcW w:w="1975" w:type="dxa"/>
          </w:tcPr>
          <w:p w14:paraId="063B7575" w14:textId="6D683CB5" w:rsidR="009E45BE" w:rsidRPr="000C3E2D" w:rsidRDefault="009E45BE" w:rsidP="000C3E2D">
            <w:pPr>
              <w:pStyle w:val="NoSpacing"/>
              <w:rPr>
                <w:rFonts w:asciiTheme="minorHAnsi" w:hAnsiTheme="minorHAnsi" w:cstheme="minorHAnsi"/>
                <w:b/>
                <w:bCs/>
              </w:rPr>
            </w:pPr>
            <w:r>
              <w:rPr>
                <w:rFonts w:asciiTheme="minorHAnsi" w:hAnsiTheme="minorHAnsi" w:cstheme="minorHAnsi"/>
                <w:b/>
                <w:bCs/>
              </w:rPr>
              <w:t>TUCW</w:t>
            </w:r>
          </w:p>
        </w:tc>
        <w:tc>
          <w:tcPr>
            <w:tcW w:w="7385" w:type="dxa"/>
          </w:tcPr>
          <w:p w14:paraId="3215C885" w14:textId="3376F320" w:rsidR="009E45BE" w:rsidRPr="00B73E0B" w:rsidRDefault="009E45BE" w:rsidP="000C3E2D">
            <w:pPr>
              <w:pStyle w:val="NoSpacing"/>
              <w:jc w:val="both"/>
              <w:rPr>
                <w:rFonts w:asciiTheme="minorHAnsi" w:hAnsiTheme="minorHAnsi" w:cstheme="minorHAnsi"/>
              </w:rPr>
            </w:pPr>
            <w:r>
              <w:rPr>
                <w:rFonts w:asciiTheme="minorHAnsi" w:hAnsiTheme="minorHAnsi" w:cstheme="minorHAnsi"/>
              </w:rPr>
              <w:t>Total Unvegetated Channel Width</w:t>
            </w:r>
          </w:p>
        </w:tc>
      </w:tr>
      <w:tr w:rsidR="007A68D0" w:rsidRPr="00B73E0B" w14:paraId="373FCFC9" w14:textId="77777777" w:rsidTr="000C3E2D">
        <w:trPr>
          <w:jc w:val="center"/>
        </w:trPr>
        <w:tc>
          <w:tcPr>
            <w:tcW w:w="1975" w:type="dxa"/>
          </w:tcPr>
          <w:p w14:paraId="72F08AB5"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UNL</w:t>
            </w:r>
          </w:p>
        </w:tc>
        <w:tc>
          <w:tcPr>
            <w:tcW w:w="7385" w:type="dxa"/>
          </w:tcPr>
          <w:p w14:paraId="11063C31" w14:textId="532BFD63" w:rsidR="007A68D0" w:rsidRPr="00B73E0B" w:rsidRDefault="007A68D0" w:rsidP="000C3E2D">
            <w:pPr>
              <w:pStyle w:val="NoSpacing"/>
              <w:jc w:val="both"/>
              <w:rPr>
                <w:rFonts w:asciiTheme="minorHAnsi" w:hAnsiTheme="minorHAnsi" w:cstheme="minorHAnsi"/>
              </w:rPr>
            </w:pPr>
            <w:r>
              <w:rPr>
                <w:rFonts w:asciiTheme="minorHAnsi" w:hAnsiTheme="minorHAnsi" w:cstheme="minorHAnsi"/>
              </w:rPr>
              <w:t>University of Nebraska</w:t>
            </w:r>
            <w:r w:rsidR="00AC55BB">
              <w:rPr>
                <w:rFonts w:asciiTheme="minorHAnsi" w:hAnsiTheme="minorHAnsi" w:cstheme="minorHAnsi"/>
              </w:rPr>
              <w:t xml:space="preserve"> – </w:t>
            </w:r>
            <w:r>
              <w:rPr>
                <w:rFonts w:asciiTheme="minorHAnsi" w:hAnsiTheme="minorHAnsi" w:cstheme="minorHAnsi"/>
              </w:rPr>
              <w:t>Lincoln</w:t>
            </w:r>
          </w:p>
        </w:tc>
      </w:tr>
      <w:tr w:rsidR="007A68D0" w:rsidRPr="00B73E0B" w14:paraId="445193B6" w14:textId="77777777" w:rsidTr="000C3E2D">
        <w:trPr>
          <w:jc w:val="center"/>
        </w:trPr>
        <w:tc>
          <w:tcPr>
            <w:tcW w:w="1975" w:type="dxa"/>
          </w:tcPr>
          <w:p w14:paraId="26131D66"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UOCW</w:t>
            </w:r>
          </w:p>
        </w:tc>
        <w:tc>
          <w:tcPr>
            <w:tcW w:w="7385" w:type="dxa"/>
          </w:tcPr>
          <w:p w14:paraId="465BA18E"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Unobstructed Channel Width</w:t>
            </w:r>
          </w:p>
        </w:tc>
      </w:tr>
      <w:tr w:rsidR="00AC55BB" w:rsidRPr="00B73E0B" w14:paraId="7C2F1807" w14:textId="77777777" w:rsidTr="000C3E2D">
        <w:trPr>
          <w:jc w:val="center"/>
        </w:trPr>
        <w:tc>
          <w:tcPr>
            <w:tcW w:w="1975" w:type="dxa"/>
          </w:tcPr>
          <w:p w14:paraId="7DB2E970" w14:textId="511C2CD8" w:rsidR="00AC55BB" w:rsidRPr="000C3E2D" w:rsidRDefault="00AC55BB" w:rsidP="000C3E2D">
            <w:pPr>
              <w:pStyle w:val="NoSpacing"/>
              <w:rPr>
                <w:rFonts w:asciiTheme="minorHAnsi" w:hAnsiTheme="minorHAnsi" w:cstheme="minorHAnsi"/>
                <w:b/>
                <w:bCs/>
              </w:rPr>
            </w:pPr>
            <w:r>
              <w:rPr>
                <w:rFonts w:asciiTheme="minorHAnsi" w:hAnsiTheme="minorHAnsi" w:cstheme="minorHAnsi"/>
                <w:b/>
                <w:bCs/>
              </w:rPr>
              <w:t>USBR</w:t>
            </w:r>
          </w:p>
        </w:tc>
        <w:tc>
          <w:tcPr>
            <w:tcW w:w="7385" w:type="dxa"/>
          </w:tcPr>
          <w:p w14:paraId="53B259E2" w14:textId="709A69B3" w:rsidR="00AC55BB" w:rsidRPr="00B73E0B" w:rsidRDefault="00AC55BB" w:rsidP="000C3E2D">
            <w:pPr>
              <w:pStyle w:val="NoSpacing"/>
              <w:jc w:val="both"/>
              <w:rPr>
                <w:rFonts w:asciiTheme="minorHAnsi" w:hAnsiTheme="minorHAnsi" w:cstheme="minorHAnsi"/>
              </w:rPr>
            </w:pPr>
            <w:r>
              <w:rPr>
                <w:rFonts w:asciiTheme="minorHAnsi" w:hAnsiTheme="minorHAnsi" w:cstheme="minorHAnsi"/>
              </w:rPr>
              <w:t>Bureau of Reclamation</w:t>
            </w:r>
          </w:p>
        </w:tc>
      </w:tr>
      <w:tr w:rsidR="007A68D0" w:rsidRPr="00B73E0B" w14:paraId="47C0AEBC" w14:textId="77777777" w:rsidTr="000C3E2D">
        <w:trPr>
          <w:jc w:val="center"/>
        </w:trPr>
        <w:tc>
          <w:tcPr>
            <w:tcW w:w="1975" w:type="dxa"/>
          </w:tcPr>
          <w:p w14:paraId="089C7FC4"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USFWS</w:t>
            </w:r>
          </w:p>
        </w:tc>
        <w:tc>
          <w:tcPr>
            <w:tcW w:w="7385" w:type="dxa"/>
          </w:tcPr>
          <w:p w14:paraId="76DE4317"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United States Fish and Wildlife Service</w:t>
            </w:r>
          </w:p>
        </w:tc>
      </w:tr>
      <w:tr w:rsidR="008B76A4" w:rsidRPr="00B73E0B" w14:paraId="134EC36B" w14:textId="77777777" w:rsidTr="000C3E2D">
        <w:trPr>
          <w:jc w:val="center"/>
        </w:trPr>
        <w:tc>
          <w:tcPr>
            <w:tcW w:w="1975" w:type="dxa"/>
          </w:tcPr>
          <w:p w14:paraId="48470951" w14:textId="3E0CAEE7" w:rsidR="008B76A4" w:rsidRPr="000C3E2D" w:rsidRDefault="008B76A4" w:rsidP="000C3E2D">
            <w:pPr>
              <w:pStyle w:val="NoSpacing"/>
              <w:rPr>
                <w:rFonts w:asciiTheme="minorHAnsi" w:hAnsiTheme="minorHAnsi" w:cstheme="minorHAnsi"/>
                <w:b/>
                <w:bCs/>
              </w:rPr>
            </w:pPr>
            <w:r>
              <w:rPr>
                <w:rFonts w:asciiTheme="minorHAnsi" w:hAnsiTheme="minorHAnsi" w:cstheme="minorHAnsi"/>
                <w:b/>
                <w:bCs/>
              </w:rPr>
              <w:t>USGS</w:t>
            </w:r>
          </w:p>
        </w:tc>
        <w:tc>
          <w:tcPr>
            <w:tcW w:w="7385" w:type="dxa"/>
          </w:tcPr>
          <w:p w14:paraId="683D50B9" w14:textId="7B06572F" w:rsidR="008B76A4" w:rsidRPr="00B73E0B" w:rsidRDefault="008B76A4" w:rsidP="000C3E2D">
            <w:pPr>
              <w:pStyle w:val="NoSpacing"/>
              <w:jc w:val="both"/>
              <w:rPr>
                <w:rFonts w:asciiTheme="minorHAnsi" w:hAnsiTheme="minorHAnsi" w:cstheme="minorHAnsi"/>
              </w:rPr>
            </w:pPr>
            <w:r>
              <w:rPr>
                <w:rFonts w:asciiTheme="minorHAnsi" w:hAnsiTheme="minorHAnsi" w:cstheme="minorHAnsi"/>
              </w:rPr>
              <w:t>United States Geological Survey</w:t>
            </w:r>
          </w:p>
        </w:tc>
      </w:tr>
      <w:tr w:rsidR="007A68D0" w:rsidRPr="00B73E0B" w14:paraId="145DE82E" w14:textId="77777777" w:rsidTr="000C3E2D">
        <w:trPr>
          <w:jc w:val="center"/>
        </w:trPr>
        <w:tc>
          <w:tcPr>
            <w:tcW w:w="1975" w:type="dxa"/>
          </w:tcPr>
          <w:p w14:paraId="6590879F" w14:textId="77777777" w:rsidR="007A68D0" w:rsidRPr="000C3E2D" w:rsidRDefault="007A68D0" w:rsidP="000C3E2D">
            <w:pPr>
              <w:pStyle w:val="NoSpacing"/>
              <w:rPr>
                <w:rFonts w:asciiTheme="minorHAnsi" w:hAnsiTheme="minorHAnsi" w:cstheme="minorHAnsi"/>
                <w:b/>
                <w:bCs/>
              </w:rPr>
            </w:pPr>
            <w:r w:rsidRPr="000C3E2D">
              <w:rPr>
                <w:rFonts w:asciiTheme="minorHAnsi" w:hAnsiTheme="minorHAnsi" w:cstheme="minorHAnsi"/>
                <w:b/>
                <w:bCs/>
              </w:rPr>
              <w:t>WC</w:t>
            </w:r>
          </w:p>
        </w:tc>
        <w:tc>
          <w:tcPr>
            <w:tcW w:w="7385" w:type="dxa"/>
          </w:tcPr>
          <w:p w14:paraId="74AFB920" w14:textId="77777777" w:rsidR="007A68D0" w:rsidRPr="00B73E0B" w:rsidRDefault="007A68D0" w:rsidP="000C3E2D">
            <w:pPr>
              <w:pStyle w:val="NoSpacing"/>
              <w:jc w:val="both"/>
              <w:rPr>
                <w:rFonts w:asciiTheme="minorHAnsi" w:hAnsiTheme="minorHAnsi" w:cstheme="minorHAnsi"/>
              </w:rPr>
            </w:pPr>
            <w:r w:rsidRPr="00B73E0B">
              <w:rPr>
                <w:rFonts w:asciiTheme="minorHAnsi" w:hAnsiTheme="minorHAnsi" w:cstheme="minorHAnsi"/>
              </w:rPr>
              <w:t>Whooping Crane</w:t>
            </w:r>
          </w:p>
        </w:tc>
      </w:tr>
    </w:tbl>
    <w:p w14:paraId="71A0E162" w14:textId="77777777" w:rsidR="007A68D0" w:rsidRDefault="007A68D0" w:rsidP="000C3E2D">
      <w:pPr>
        <w:suppressLineNumbers/>
      </w:pPr>
    </w:p>
    <w:p w14:paraId="43F3610A" w14:textId="77777777" w:rsidR="007A68D0" w:rsidRDefault="007A68D0" w:rsidP="000C3E2D">
      <w:pPr>
        <w:sectPr w:rsidR="007A68D0" w:rsidSect="005B280F">
          <w:pgSz w:w="12240" w:h="15840"/>
          <w:pgMar w:top="1440" w:right="1440" w:bottom="1440" w:left="1440" w:header="720" w:footer="720" w:gutter="0"/>
          <w:lnNumType w:countBy="1" w:restart="newSection"/>
          <w:cols w:space="720"/>
          <w:docGrid w:linePitch="360"/>
        </w:sectPr>
      </w:pPr>
    </w:p>
    <w:p w14:paraId="4197866F" w14:textId="2643E556" w:rsidR="005C5E64" w:rsidRPr="00ED7141" w:rsidRDefault="00413C51" w:rsidP="00413C51">
      <w:pPr>
        <w:pStyle w:val="Heading1"/>
      </w:pPr>
      <w:bookmarkStart w:id="5" w:name="_Toc157060184"/>
      <w:r w:rsidRPr="00ED7141">
        <w:t>Introduction</w:t>
      </w:r>
      <w:bookmarkEnd w:id="5"/>
    </w:p>
    <w:p w14:paraId="72CA7CD3" w14:textId="1C08D01F" w:rsidR="00CC3E05" w:rsidRDefault="00CC3E05" w:rsidP="00CC3E05">
      <w:r w:rsidRPr="00ED7141">
        <w:rPr>
          <w:sz w:val="20"/>
          <w:szCs w:val="20"/>
        </w:rPr>
        <w:t>The PRRIP EDO developed th</w:t>
      </w:r>
      <w:r w:rsidR="00B8039E">
        <w:rPr>
          <w:sz w:val="20"/>
          <w:szCs w:val="20"/>
        </w:rPr>
        <w:t xml:space="preserve">e 2024 </w:t>
      </w:r>
      <w:proofErr w:type="spellStart"/>
      <w:r w:rsidR="00B8039E">
        <w:rPr>
          <w:sz w:val="20"/>
          <w:szCs w:val="20"/>
        </w:rPr>
        <w:t>SoPR</w:t>
      </w:r>
      <w:proofErr w:type="spellEnd"/>
      <w:r w:rsidR="00B8039E">
        <w:rPr>
          <w:sz w:val="20"/>
          <w:szCs w:val="20"/>
        </w:rPr>
        <w:t xml:space="preserve"> </w:t>
      </w:r>
      <w:r w:rsidRPr="00ED7141">
        <w:rPr>
          <w:sz w:val="20"/>
          <w:szCs w:val="20"/>
        </w:rPr>
        <w:t>for the Governance Committee (GC)</w:t>
      </w:r>
      <w:r w:rsidR="00244B8F" w:rsidRPr="00ED7141">
        <w:rPr>
          <w:sz w:val="20"/>
          <w:szCs w:val="20"/>
        </w:rPr>
        <w:t xml:space="preserve">. </w:t>
      </w:r>
      <w:r w:rsidRPr="00ED7141">
        <w:rPr>
          <w:sz w:val="20"/>
          <w:szCs w:val="20"/>
        </w:rPr>
        <w:t>It is intended to serve as a synthesis of Prog</w:t>
      </w:r>
      <w:r>
        <w:t>ram monitoring data, research, analysis, and associated retrospective analyses to provide important information to the GC regarding key scientific and technical uncertainties</w:t>
      </w:r>
      <w:r w:rsidR="00244B8F">
        <w:t xml:space="preserve">. </w:t>
      </w:r>
      <w:r>
        <w:t xml:space="preserve">These uncertainties form the core structure of the Program’s </w:t>
      </w:r>
      <w:r w:rsidR="00607A7A">
        <w:t xml:space="preserve">Extension Science Plan </w:t>
      </w:r>
      <w:r>
        <w:t xml:space="preserve">and are directly related to decisions regarding implementation of management actions, assessment of target species’ response to those management actions, </w:t>
      </w:r>
      <w:r w:rsidR="00607A7A">
        <w:t xml:space="preserve">and </w:t>
      </w:r>
      <w:r>
        <w:t xml:space="preserve">how best the Program can </w:t>
      </w:r>
      <w:r w:rsidR="00CA459F">
        <w:t>utilize</w:t>
      </w:r>
      <w:r>
        <w:t xml:space="preserve"> its resources (money, land, water</w:t>
      </w:r>
      <w:r w:rsidR="00607A7A">
        <w:t>).</w:t>
      </w:r>
    </w:p>
    <w:p w14:paraId="5D23A17D" w14:textId="77777777" w:rsidR="00CC3E05" w:rsidRDefault="00CC3E05" w:rsidP="00CC3E05"/>
    <w:p w14:paraId="1C79E4EF" w14:textId="0B8409BD" w:rsidR="00413C51" w:rsidRDefault="00CC3E05" w:rsidP="00CC3E05">
      <w:r>
        <w:t xml:space="preserve">A quick reference assessment for each of ten </w:t>
      </w:r>
      <w:r w:rsidR="005D6D9C">
        <w:t xml:space="preserve">Extension </w:t>
      </w:r>
      <w:r>
        <w:t xml:space="preserve">Big Questions </w:t>
      </w:r>
      <w:r w:rsidR="005D6D9C">
        <w:t>(EBQ</w:t>
      </w:r>
      <w:r w:rsidR="009A2246">
        <w:t>s</w:t>
      </w:r>
      <w:r w:rsidR="005D6D9C">
        <w:t xml:space="preserve">) </w:t>
      </w:r>
      <w:r>
        <w:t xml:space="preserve">is provided in </w:t>
      </w:r>
      <w:r w:rsidRPr="0087128C">
        <w:rPr>
          <w:b/>
          <w:bCs/>
        </w:rPr>
        <w:t xml:space="preserve">Table </w:t>
      </w:r>
      <w:r w:rsidR="0087128C" w:rsidRPr="0087128C">
        <w:rPr>
          <w:b/>
          <w:bCs/>
        </w:rPr>
        <w:t>3</w:t>
      </w:r>
      <w:r>
        <w:t xml:space="preserve">, followed by an assessment write-up for each </w:t>
      </w:r>
      <w:r w:rsidR="005D6D9C">
        <w:t>EBQ</w:t>
      </w:r>
      <w:r w:rsidR="00244B8F">
        <w:t xml:space="preserve">. </w:t>
      </w:r>
      <w:r>
        <w:t>Each assessment includes information noting any updates or changes</w:t>
      </w:r>
      <w:r w:rsidR="00EF613C">
        <w:t xml:space="preserve"> since publication of the last </w:t>
      </w:r>
      <w:proofErr w:type="spellStart"/>
      <w:r w:rsidR="00B8039E">
        <w:t>SoPR</w:t>
      </w:r>
      <w:proofErr w:type="spellEnd"/>
      <w:r w:rsidR="00EF613C">
        <w:t xml:space="preserve"> (in this case, the 2019 </w:t>
      </w:r>
      <w:proofErr w:type="spellStart"/>
      <w:r w:rsidR="00EF613C">
        <w:t>S</w:t>
      </w:r>
      <w:r w:rsidR="00B8039E">
        <w:t>oPR</w:t>
      </w:r>
      <w:proofErr w:type="spellEnd"/>
      <w:r w:rsidR="00977A80">
        <w:t xml:space="preserve"> </w:t>
      </w:r>
      <w:r w:rsidR="00EF613C">
        <w:t>finalized as the Program’s First Increment concluded)</w:t>
      </w:r>
      <w:r w:rsidR="00244B8F">
        <w:t xml:space="preserve">. </w:t>
      </w:r>
      <w:r>
        <w:t xml:space="preserve">This document </w:t>
      </w:r>
      <w:r w:rsidR="00214C7F">
        <w:t xml:space="preserve">utilizes footnotes </w:t>
      </w:r>
      <w:r>
        <w:t>to identify key documents or data sets that are important to read and understand when reviewing this report</w:t>
      </w:r>
      <w:r w:rsidR="00244B8F">
        <w:t xml:space="preserve">. </w:t>
      </w:r>
      <w:r>
        <w:t xml:space="preserve">Those </w:t>
      </w:r>
      <w:r w:rsidR="00103224">
        <w:t>footnotes</w:t>
      </w:r>
      <w:r>
        <w:t xml:space="preserve"> include hyperlinks to information available in the Public Library section of the</w:t>
      </w:r>
      <w:r w:rsidR="00A718F5">
        <w:t xml:space="preserve"> PRRIP </w:t>
      </w:r>
      <w:r>
        <w:t>website.</w:t>
      </w:r>
    </w:p>
    <w:p w14:paraId="7CA1F5AD" w14:textId="77777777" w:rsidR="00CC3E05" w:rsidRDefault="00CC3E05" w:rsidP="00CC3E05"/>
    <w:p w14:paraId="45E254DC" w14:textId="10E586F1" w:rsidR="00413C51" w:rsidRDefault="00BE72E9" w:rsidP="00615E4C">
      <w:pPr>
        <w:pStyle w:val="Heading2"/>
      </w:pPr>
      <w:bookmarkStart w:id="6" w:name="_Toc157060185"/>
      <w:r w:rsidRPr="00562562">
        <w:t>Key Observations and Progress</w:t>
      </w:r>
      <w:bookmarkEnd w:id="6"/>
    </w:p>
    <w:p w14:paraId="18381200" w14:textId="5AD92296" w:rsidR="00A46159" w:rsidRDefault="00F37AA8" w:rsidP="00A46159">
      <w:pPr>
        <w:pStyle w:val="NoSpacing"/>
      </w:pPr>
      <w:r w:rsidRPr="00F37AA8">
        <w:t xml:space="preserve">The </w:t>
      </w:r>
      <w:r w:rsidR="00A011D6">
        <w:t xml:space="preserve">2024 PRRIP </w:t>
      </w:r>
      <w:proofErr w:type="spellStart"/>
      <w:r w:rsidR="00B8039E">
        <w:t>SoPR</w:t>
      </w:r>
      <w:proofErr w:type="spellEnd"/>
      <w:r w:rsidRPr="00F37AA8">
        <w:t xml:space="preserve"> includes assessments incorporating Program data primarily from years 20</w:t>
      </w:r>
      <w:r w:rsidR="00A011D6">
        <w:t>20-2023</w:t>
      </w:r>
      <w:r w:rsidR="00BE3758">
        <w:t xml:space="preserve">. This is the first </w:t>
      </w:r>
      <w:proofErr w:type="spellStart"/>
      <w:r w:rsidR="00BE3758">
        <w:t>S</w:t>
      </w:r>
      <w:r w:rsidR="00B8039E">
        <w:t>oPR</w:t>
      </w:r>
      <w:proofErr w:type="spellEnd"/>
      <w:r w:rsidR="009C1F66">
        <w:t xml:space="preserve"> generated </w:t>
      </w:r>
      <w:r w:rsidR="0066644C">
        <w:t xml:space="preserve">during </w:t>
      </w:r>
      <w:r w:rsidR="00BE3758">
        <w:t>the Extension</w:t>
      </w:r>
      <w:r w:rsidR="0066644C">
        <w:t xml:space="preserve"> (years 2020-2032)</w:t>
      </w:r>
      <w:r w:rsidR="00BE3758">
        <w:t xml:space="preserve"> </w:t>
      </w:r>
      <w:r w:rsidR="009C1F66">
        <w:t>and thus the first set of EBQ assessments largely reflect</w:t>
      </w:r>
      <w:r w:rsidR="005F2389">
        <w:t xml:space="preserve"> just the beginnings of Program learning. </w:t>
      </w:r>
      <w:r w:rsidR="00576A55">
        <w:t>EBQ #1 is trending in a positive direction that</w:t>
      </w:r>
      <w:r w:rsidR="00016A9D">
        <w:t xml:space="preserve"> may affirm </w:t>
      </w:r>
      <w:r w:rsidR="00036FD7" w:rsidRPr="00036FD7">
        <w:t xml:space="preserve">important </w:t>
      </w:r>
      <w:r w:rsidR="00016A9D">
        <w:t xml:space="preserve">underlying </w:t>
      </w:r>
      <w:r w:rsidR="00036FD7" w:rsidRPr="00036FD7">
        <w:t>hypotheses</w:t>
      </w:r>
      <w:r w:rsidR="00016A9D">
        <w:t>. EBQ</w:t>
      </w:r>
      <w:r w:rsidR="009A2246">
        <w:t xml:space="preserve">s </w:t>
      </w:r>
      <w:r w:rsidR="00016A9D">
        <w:t xml:space="preserve">#2-#9 are inconclusive at this time. The </w:t>
      </w:r>
      <w:r w:rsidR="00AE1183">
        <w:t>assessments for these questions come early in the Extension before key analyses and syntheses have been completed; in several instances, those analyses</w:t>
      </w:r>
      <w:r w:rsidR="00B60403">
        <w:t xml:space="preserve"> will begin later in 2024. EBQ #10, related to wet meadows, is a hold-over from the First Increment and is not stated as a question to be explored; rather, </w:t>
      </w:r>
      <w:r w:rsidR="00CF6FEB">
        <w:t xml:space="preserve">it </w:t>
      </w:r>
      <w:r w:rsidR="00036FD7" w:rsidRPr="00036FD7">
        <w:t xml:space="preserve">will be addressed </w:t>
      </w:r>
      <w:r w:rsidR="002C0776">
        <w:t xml:space="preserve">through peer review of the Wet Meadow Hydrology Report and internal Program discussions with the Technical Advisory Committee (TAC) about </w:t>
      </w:r>
      <w:r w:rsidR="00D435C1">
        <w:t xml:space="preserve">refining </w:t>
      </w:r>
      <w:r w:rsidR="002C0776">
        <w:t xml:space="preserve">the Program’s definition of wet meadows and what </w:t>
      </w:r>
      <w:r w:rsidR="00D435C1">
        <w:t xml:space="preserve">the implications are </w:t>
      </w:r>
      <w:r w:rsidR="0015559D">
        <w:t xml:space="preserve">for </w:t>
      </w:r>
      <w:r w:rsidR="005A38CE">
        <w:t xml:space="preserve">future </w:t>
      </w:r>
      <w:r w:rsidR="0015559D">
        <w:t>Program land</w:t>
      </w:r>
      <w:r w:rsidR="005A38CE">
        <w:t xml:space="preserve"> acquisition and</w:t>
      </w:r>
      <w:r w:rsidR="0015559D">
        <w:t xml:space="preserve"> management</w:t>
      </w:r>
      <w:r w:rsidR="005A38CE">
        <w:t>.</w:t>
      </w:r>
    </w:p>
    <w:p w14:paraId="5D799623" w14:textId="77777777" w:rsidR="00A46159" w:rsidRDefault="00A46159" w:rsidP="00A46159">
      <w:pPr>
        <w:pStyle w:val="NoSpacing"/>
      </w:pPr>
    </w:p>
    <w:p w14:paraId="53EDE1AE" w14:textId="50FB6DA6" w:rsidR="00A46159" w:rsidRPr="00A46159" w:rsidRDefault="00A46159" w:rsidP="00A46159">
      <w:pPr>
        <w:pStyle w:val="NoSpacing"/>
      </w:pPr>
      <w:r>
        <w:t>The one-page summaries that follow provide</w:t>
      </w:r>
      <w:r w:rsidR="000936C9">
        <w:t xml:space="preserve"> broad</w:t>
      </w:r>
      <w:r w:rsidR="00FD308F">
        <w:t xml:space="preserve"> </w:t>
      </w:r>
      <w:r w:rsidR="000936C9">
        <w:t>updates on central Platte River form</w:t>
      </w:r>
      <w:r w:rsidR="00FD308F">
        <w:t xml:space="preserve">, </w:t>
      </w:r>
      <w:r w:rsidR="000936C9">
        <w:t>function, and physical process issues, as well as</w:t>
      </w:r>
      <w:r w:rsidR="00742530">
        <w:t xml:space="preserve"> the Program’s target species (piping plover, whooping crane, and pallid sturgeon).</w:t>
      </w:r>
      <w:r>
        <w:br w:type="page"/>
      </w:r>
    </w:p>
    <w:p w14:paraId="4EC43A15" w14:textId="7FB4BE1A" w:rsidR="0058537B" w:rsidRPr="00CF6FEB" w:rsidRDefault="0058537B" w:rsidP="00615E4C">
      <w:pPr>
        <w:pStyle w:val="Heading2"/>
      </w:pPr>
      <w:bookmarkStart w:id="7" w:name="_Toc157060186"/>
      <w:r w:rsidRPr="00CF6FEB">
        <w:t xml:space="preserve">Channel </w:t>
      </w:r>
      <w:r w:rsidR="004249D9" w:rsidRPr="00CF6FEB">
        <w:t>M</w:t>
      </w:r>
      <w:r w:rsidRPr="00CF6FEB">
        <w:t xml:space="preserve">orphology and </w:t>
      </w:r>
      <w:r w:rsidR="004249D9" w:rsidRPr="00CF6FEB">
        <w:t>V</w:t>
      </w:r>
      <w:r w:rsidRPr="00CF6FEB">
        <w:t>egetation</w:t>
      </w:r>
      <w:bookmarkEnd w:id="7"/>
      <w:r w:rsidRPr="00CF6FEB">
        <w:t xml:space="preserve"> </w:t>
      </w:r>
    </w:p>
    <w:p w14:paraId="59E30CE7" w14:textId="43E6AF4E" w:rsidR="00953BAF" w:rsidRDefault="00953BAF" w:rsidP="00953BAF">
      <w:r>
        <w:t>Roosting habitat suitability for whooping cranes is, in part, a function of the maximum unvegetated width of the main channel (MUCW). The total unvegetated width (TUCW) of the main channel is a geomorphic metric (versus a habitat metric) that is comparable to MUCW but a better response metric as it eliminates the randomness associated with MUCW in channels where the entire width of channel is not unvegetated.</w:t>
      </w:r>
      <w:r>
        <w:rPr>
          <w:rStyle w:val="FootnoteReference"/>
        </w:rPr>
        <w:footnoteReference w:id="1"/>
      </w:r>
      <w:r>
        <w:t xml:space="preserve"> </w:t>
      </w:r>
      <w:r w:rsidRPr="00953BAF">
        <w:rPr>
          <w:b/>
          <w:bCs/>
        </w:rPr>
        <w:t>Figure 1</w:t>
      </w:r>
      <w:r>
        <w:t xml:space="preserve"> below shows change in mean TUCW of the main channel from 1998 through 2022 as well as the annual 40-day mean peak discharge during the same period.</w:t>
      </w:r>
      <w:r>
        <w:rPr>
          <w:rStyle w:val="FootnoteReference"/>
        </w:rPr>
        <w:footnoteReference w:id="2"/>
      </w:r>
      <w:r>
        <w:t xml:space="preserve"> In the early 2000s, TUCW declined rapidly as the basin descended into drought and peak flow magnitude decreased. A combination of phragmites spraying, mechanical vegetation control and recovering hydrology resulted in an increase in TUCW during the First Increment of the Program (2007-2019). Since 2019, TUCW has remained stable, despite a decline in peak flow magnitude similar to what occurred in the early 2000s. We infer that the stability in width despite a lack of peak flows is the result of germination suppression flow releases that are intended to inundate the channel during the germination period, preventing vegetation from becoming established. Ongoing germination suppression and phragmites research will help us better define the relationship between peak flow magnitude and channel inundating flows in maintenance of unvegetated channel width.</w:t>
      </w:r>
    </w:p>
    <w:p w14:paraId="7672EFDA" w14:textId="77777777" w:rsidR="00953BAF" w:rsidRDefault="00953BAF" w:rsidP="00953BAF"/>
    <w:p w14:paraId="32687AA7" w14:textId="77777777" w:rsidR="00953BAF" w:rsidRDefault="00953BAF" w:rsidP="00953BAF">
      <w:r>
        <w:rPr>
          <w:noProof/>
        </w:rPr>
        <w:drawing>
          <wp:inline distT="0" distB="0" distL="0" distR="0" wp14:anchorId="518D4A4C" wp14:editId="1B4C69AB">
            <wp:extent cx="5943600" cy="3209925"/>
            <wp:effectExtent l="0" t="0" r="0" b="9525"/>
            <wp:docPr id="412535265" name="Chart 1">
              <a:extLst xmlns:a="http://schemas.openxmlformats.org/drawingml/2006/main">
                <a:ext uri="{FF2B5EF4-FFF2-40B4-BE49-F238E27FC236}">
                  <a16:creationId xmlns:a16="http://schemas.microsoft.com/office/drawing/2014/main" id="{CBDE44D8-2FDD-4713-8F6C-F2CC9EDDE8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D0A457B" w14:textId="233C57C5" w:rsidR="009D4978" w:rsidRPr="00953BAF" w:rsidRDefault="00953BAF" w:rsidP="00F465DE">
      <w:pPr>
        <w:rPr>
          <w:sz w:val="18"/>
          <w:szCs w:val="18"/>
        </w:rPr>
      </w:pPr>
      <w:r w:rsidRPr="00953BAF">
        <w:rPr>
          <w:b/>
          <w:bCs/>
          <w:sz w:val="18"/>
          <w:szCs w:val="18"/>
        </w:rPr>
        <w:t>Figure 1.</w:t>
      </w:r>
      <w:r w:rsidRPr="00C9000F">
        <w:rPr>
          <w:sz w:val="18"/>
          <w:szCs w:val="18"/>
        </w:rPr>
        <w:t xml:space="preserve"> Mean of </w:t>
      </w:r>
      <w:r>
        <w:rPr>
          <w:sz w:val="18"/>
          <w:szCs w:val="18"/>
        </w:rPr>
        <w:t>total</w:t>
      </w:r>
      <w:r w:rsidRPr="00C9000F">
        <w:rPr>
          <w:sz w:val="18"/>
          <w:szCs w:val="18"/>
        </w:rPr>
        <w:t xml:space="preserve"> </w:t>
      </w:r>
      <w:r>
        <w:rPr>
          <w:sz w:val="18"/>
          <w:szCs w:val="18"/>
        </w:rPr>
        <w:t>main channel</w:t>
      </w:r>
      <w:r w:rsidRPr="00C9000F">
        <w:rPr>
          <w:sz w:val="18"/>
          <w:szCs w:val="18"/>
        </w:rPr>
        <w:t xml:space="preserve"> width</w:t>
      </w:r>
      <w:r>
        <w:rPr>
          <w:sz w:val="18"/>
          <w:szCs w:val="18"/>
        </w:rPr>
        <w:t xml:space="preserve"> unobstructed by dense vegetation</w:t>
      </w:r>
      <w:r w:rsidRPr="00C9000F">
        <w:rPr>
          <w:sz w:val="18"/>
          <w:szCs w:val="18"/>
        </w:rPr>
        <w:t xml:space="preserve"> (</w:t>
      </w:r>
      <w:r>
        <w:rPr>
          <w:sz w:val="18"/>
          <w:szCs w:val="18"/>
        </w:rPr>
        <w:t>TUCW</w:t>
      </w:r>
      <w:r w:rsidRPr="00C9000F">
        <w:rPr>
          <w:sz w:val="18"/>
          <w:szCs w:val="18"/>
        </w:rPr>
        <w:t xml:space="preserve">) through time plotted with </w:t>
      </w:r>
      <w:r>
        <w:rPr>
          <w:sz w:val="18"/>
          <w:szCs w:val="18"/>
        </w:rPr>
        <w:t>40-day mean peak</w:t>
      </w:r>
      <w:r w:rsidRPr="00C9000F">
        <w:rPr>
          <w:sz w:val="18"/>
          <w:szCs w:val="18"/>
        </w:rPr>
        <w:t xml:space="preserve"> discharge at the Grand Island gage. </w:t>
      </w:r>
      <w:r>
        <w:rPr>
          <w:sz w:val="18"/>
          <w:szCs w:val="18"/>
        </w:rPr>
        <w:t xml:space="preserve">TUCW </w:t>
      </w:r>
      <w:r w:rsidRPr="00C9000F">
        <w:rPr>
          <w:sz w:val="18"/>
          <w:szCs w:val="18"/>
        </w:rPr>
        <w:t xml:space="preserve">remained stable after 2019 despite </w:t>
      </w:r>
      <w:r>
        <w:rPr>
          <w:sz w:val="18"/>
          <w:szCs w:val="18"/>
        </w:rPr>
        <w:t>a lack of peak flows</w:t>
      </w:r>
      <w:r w:rsidRPr="00C9000F">
        <w:rPr>
          <w:sz w:val="18"/>
          <w:szCs w:val="18"/>
        </w:rPr>
        <w:t>. This contrasts with the narrowing observed in the early 2000s following a similar decline in discharge.</w:t>
      </w:r>
      <w:r w:rsidR="009D4978">
        <w:br w:type="page"/>
      </w:r>
    </w:p>
    <w:p w14:paraId="005E0232" w14:textId="07AB2DD7" w:rsidR="00562562" w:rsidRDefault="00B403F8" w:rsidP="00615E4C">
      <w:pPr>
        <w:pStyle w:val="Heading2"/>
      </w:pPr>
      <w:bookmarkStart w:id="8" w:name="_Toc157060187"/>
      <w:r>
        <w:t>Piping Plover (PP) Habitat, Use, and Productivity</w:t>
      </w:r>
      <w:bookmarkEnd w:id="8"/>
    </w:p>
    <w:p w14:paraId="2ADC391F" w14:textId="384F86D2" w:rsidR="0058537B" w:rsidRPr="0086161E" w:rsidRDefault="0083040E" w:rsidP="0058537B">
      <w:pPr>
        <w:rPr>
          <w:rFonts w:asciiTheme="minorHAnsi" w:hAnsiTheme="minorHAnsi" w:cstheme="minorHAnsi"/>
        </w:rPr>
      </w:pPr>
      <w:r w:rsidRPr="0083040E">
        <w:rPr>
          <w:rFonts w:asciiTheme="minorHAnsi" w:hAnsiTheme="minorHAnsi" w:cstheme="minorHAnsi"/>
          <w:noProof/>
        </w:rPr>
        <mc:AlternateContent>
          <mc:Choice Requires="wps">
            <w:drawing>
              <wp:anchor distT="45720" distB="45720" distL="114300" distR="114300" simplePos="0" relativeHeight="251719680" behindDoc="0" locked="0" layoutInCell="1" allowOverlap="1" wp14:anchorId="65076666" wp14:editId="1D94FE5B">
                <wp:simplePos x="0" y="0"/>
                <wp:positionH relativeFrom="column">
                  <wp:posOffset>0</wp:posOffset>
                </wp:positionH>
                <wp:positionV relativeFrom="paragraph">
                  <wp:posOffset>2519680</wp:posOffset>
                </wp:positionV>
                <wp:extent cx="4023360" cy="1404620"/>
                <wp:effectExtent l="0" t="0" r="15240" b="28575"/>
                <wp:wrapSquare wrapText="bothSides"/>
                <wp:docPr id="18584199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3360" cy="1404620"/>
                        </a:xfrm>
                        <a:prstGeom prst="rect">
                          <a:avLst/>
                        </a:prstGeom>
                        <a:solidFill>
                          <a:srgbClr val="FFFFFF"/>
                        </a:solidFill>
                        <a:ln w="9525">
                          <a:solidFill>
                            <a:srgbClr val="000000"/>
                          </a:solidFill>
                          <a:miter lim="800000"/>
                          <a:headEnd/>
                          <a:tailEnd/>
                        </a:ln>
                      </wps:spPr>
                      <wps:txbx>
                        <w:txbxContent>
                          <w:p w14:paraId="4AF9291F" w14:textId="15144D8B" w:rsidR="0083040E" w:rsidRDefault="0083040E">
                            <w:r w:rsidRPr="00393638">
                              <w:rPr>
                                <w:b/>
                                <w:bCs/>
                                <w:spacing w:val="-1"/>
                                <w:sz w:val="18"/>
                                <w:szCs w:val="18"/>
                              </w:rPr>
                              <w:t>Figure</w:t>
                            </w:r>
                            <w:r w:rsidRPr="00393638">
                              <w:rPr>
                                <w:b/>
                                <w:bCs/>
                                <w:spacing w:val="-7"/>
                                <w:sz w:val="18"/>
                                <w:szCs w:val="18"/>
                              </w:rPr>
                              <w:t xml:space="preserve"> </w:t>
                            </w:r>
                            <w:r w:rsidR="00032AFE">
                              <w:rPr>
                                <w:b/>
                                <w:bCs/>
                                <w:sz w:val="18"/>
                                <w:szCs w:val="18"/>
                              </w:rPr>
                              <w:t>2</w:t>
                            </w:r>
                            <w:r w:rsidRPr="00393638">
                              <w:rPr>
                                <w:b/>
                                <w:bCs/>
                                <w:sz w:val="18"/>
                                <w:szCs w:val="18"/>
                              </w:rPr>
                              <w:t>.</w:t>
                            </w:r>
                            <w:r w:rsidRPr="00393638">
                              <w:rPr>
                                <w:b/>
                                <w:bCs/>
                                <w:spacing w:val="-5"/>
                                <w:sz w:val="18"/>
                                <w:szCs w:val="18"/>
                              </w:rPr>
                              <w:t xml:space="preserve"> </w:t>
                            </w:r>
                            <w:r w:rsidRPr="00BD4428">
                              <w:rPr>
                                <w:spacing w:val="-1"/>
                                <w:sz w:val="18"/>
                                <w:szCs w:val="18"/>
                              </w:rPr>
                              <w:t>Annual variability in the total</w:t>
                            </w:r>
                            <w:r w:rsidRPr="00BD4428">
                              <w:rPr>
                                <w:spacing w:val="-5"/>
                                <w:sz w:val="18"/>
                                <w:szCs w:val="18"/>
                              </w:rPr>
                              <w:t xml:space="preserve"> </w:t>
                            </w:r>
                            <w:r w:rsidRPr="00BD4428">
                              <w:rPr>
                                <w:sz w:val="18"/>
                                <w:szCs w:val="18"/>
                              </w:rPr>
                              <w:t>numbers of</w:t>
                            </w:r>
                            <w:r w:rsidRPr="00BD4428">
                              <w:rPr>
                                <w:spacing w:val="-7"/>
                                <w:sz w:val="18"/>
                                <w:szCs w:val="18"/>
                              </w:rPr>
                              <w:t xml:space="preserve"> </w:t>
                            </w:r>
                            <w:r w:rsidRPr="00BD4428">
                              <w:rPr>
                                <w:spacing w:val="-1"/>
                                <w:sz w:val="18"/>
                                <w:szCs w:val="18"/>
                              </w:rPr>
                              <w:t>piping plover</w:t>
                            </w:r>
                            <w:r w:rsidRPr="00BD4428">
                              <w:rPr>
                                <w:spacing w:val="-6"/>
                                <w:sz w:val="18"/>
                                <w:szCs w:val="18"/>
                              </w:rPr>
                              <w:t xml:space="preserve"> </w:t>
                            </w:r>
                            <w:r w:rsidRPr="00BD4428">
                              <w:rPr>
                                <w:spacing w:val="-1"/>
                                <w:sz w:val="18"/>
                                <w:szCs w:val="18"/>
                              </w:rPr>
                              <w:t>nests (green line),</w:t>
                            </w:r>
                            <w:r w:rsidRPr="00BD4428">
                              <w:rPr>
                                <w:spacing w:val="-4"/>
                                <w:sz w:val="18"/>
                                <w:szCs w:val="18"/>
                              </w:rPr>
                              <w:t xml:space="preserve"> peak estimated </w:t>
                            </w:r>
                            <w:r w:rsidRPr="00BD4428">
                              <w:rPr>
                                <w:spacing w:val="-1"/>
                                <w:sz w:val="18"/>
                                <w:szCs w:val="18"/>
                              </w:rPr>
                              <w:t>breeding</w:t>
                            </w:r>
                            <w:r w:rsidRPr="00BD4428">
                              <w:rPr>
                                <w:spacing w:val="-6"/>
                                <w:sz w:val="18"/>
                                <w:szCs w:val="18"/>
                              </w:rPr>
                              <w:t xml:space="preserve"> </w:t>
                            </w:r>
                            <w:r w:rsidRPr="00BD4428">
                              <w:rPr>
                                <w:spacing w:val="-1"/>
                                <w:sz w:val="18"/>
                                <w:szCs w:val="18"/>
                              </w:rPr>
                              <w:t>pairs (orange line),</w:t>
                            </w:r>
                            <w:r w:rsidRPr="00BD4428">
                              <w:rPr>
                                <w:spacing w:val="-2"/>
                                <w:sz w:val="18"/>
                                <w:szCs w:val="18"/>
                              </w:rPr>
                              <w:t xml:space="preserve"> </w:t>
                            </w:r>
                            <w:r w:rsidRPr="00BD4428">
                              <w:rPr>
                                <w:sz w:val="18"/>
                                <w:szCs w:val="18"/>
                              </w:rPr>
                              <w:t>brood counts (purple line)</w:t>
                            </w:r>
                            <w:r w:rsidRPr="00BD4428">
                              <w:rPr>
                                <w:spacing w:val="-1"/>
                                <w:sz w:val="18"/>
                                <w:szCs w:val="18"/>
                              </w:rPr>
                              <w:t>,</w:t>
                            </w:r>
                            <w:r w:rsidRPr="00BD4428">
                              <w:rPr>
                                <w:spacing w:val="-3"/>
                                <w:sz w:val="18"/>
                                <w:szCs w:val="18"/>
                              </w:rPr>
                              <w:t xml:space="preserve"> </w:t>
                            </w:r>
                            <w:r w:rsidRPr="00BD4428">
                              <w:rPr>
                                <w:spacing w:val="-5"/>
                                <w:sz w:val="18"/>
                                <w:szCs w:val="18"/>
                              </w:rPr>
                              <w:t>and total on- and off-channel habitat available (acres; blue bars)</w:t>
                            </w:r>
                            <w:r w:rsidRPr="00BD4428">
                              <w:rPr>
                                <w:spacing w:val="-1"/>
                                <w:sz w:val="18"/>
                                <w:szCs w:val="18"/>
                              </w:rPr>
                              <w:t xml:space="preserve"> observed within</w:t>
                            </w:r>
                            <w:r w:rsidRPr="00BD4428">
                              <w:rPr>
                                <w:spacing w:val="-6"/>
                                <w:sz w:val="18"/>
                                <w:szCs w:val="18"/>
                              </w:rPr>
                              <w:t xml:space="preserve"> </w:t>
                            </w:r>
                            <w:r w:rsidRPr="00BD4428">
                              <w:rPr>
                                <w:spacing w:val="-1"/>
                                <w:sz w:val="18"/>
                                <w:szCs w:val="18"/>
                              </w:rPr>
                              <w:t>the</w:t>
                            </w:r>
                            <w:r w:rsidRPr="00BD4428">
                              <w:rPr>
                                <w:spacing w:val="-4"/>
                                <w:sz w:val="18"/>
                                <w:szCs w:val="18"/>
                              </w:rPr>
                              <w:t xml:space="preserve"> </w:t>
                            </w:r>
                            <w:r w:rsidRPr="00BD4428">
                              <w:rPr>
                                <w:sz w:val="18"/>
                                <w:szCs w:val="18"/>
                              </w:rPr>
                              <w:t>Program</w:t>
                            </w:r>
                            <w:r w:rsidRPr="00BD4428">
                              <w:rPr>
                                <w:spacing w:val="-6"/>
                                <w:sz w:val="18"/>
                                <w:szCs w:val="18"/>
                              </w:rPr>
                              <w:t xml:space="preserve"> </w:t>
                            </w:r>
                            <w:r w:rsidRPr="00BD4428">
                              <w:rPr>
                                <w:spacing w:val="-1"/>
                                <w:sz w:val="18"/>
                                <w:szCs w:val="18"/>
                              </w:rPr>
                              <w:t>Associated</w:t>
                            </w:r>
                            <w:r w:rsidRPr="00BD4428">
                              <w:rPr>
                                <w:spacing w:val="-4"/>
                                <w:sz w:val="18"/>
                                <w:szCs w:val="18"/>
                              </w:rPr>
                              <w:t xml:space="preserve"> </w:t>
                            </w:r>
                            <w:r w:rsidRPr="00BD4428">
                              <w:rPr>
                                <w:spacing w:val="-1"/>
                                <w:sz w:val="18"/>
                                <w:szCs w:val="18"/>
                              </w:rPr>
                              <w:t>Habitat</w:t>
                            </w:r>
                            <w:r w:rsidRPr="00BD4428">
                              <w:rPr>
                                <w:spacing w:val="91"/>
                                <w:w w:val="99"/>
                                <w:sz w:val="18"/>
                                <w:szCs w:val="18"/>
                              </w:rPr>
                              <w:t xml:space="preserve"> </w:t>
                            </w:r>
                            <w:r w:rsidRPr="00BD4428">
                              <w:rPr>
                                <w:spacing w:val="-1"/>
                                <w:sz w:val="18"/>
                                <w:szCs w:val="18"/>
                              </w:rPr>
                              <w:t xml:space="preserve">Reach </w:t>
                            </w:r>
                            <w:r w:rsidRPr="00BD4428">
                              <w:rPr>
                                <w:sz w:val="18"/>
                                <w:szCs w:val="18"/>
                              </w:rPr>
                              <w:t>along</w:t>
                            </w:r>
                            <w:r w:rsidRPr="00BD4428">
                              <w:rPr>
                                <w:spacing w:val="-7"/>
                                <w:sz w:val="18"/>
                                <w:szCs w:val="18"/>
                              </w:rPr>
                              <w:t xml:space="preserve"> </w:t>
                            </w:r>
                            <w:r w:rsidRPr="00BD4428">
                              <w:rPr>
                                <w:sz w:val="18"/>
                                <w:szCs w:val="18"/>
                              </w:rPr>
                              <w:t>the</w:t>
                            </w:r>
                            <w:r w:rsidRPr="00BD4428">
                              <w:rPr>
                                <w:spacing w:val="-6"/>
                                <w:sz w:val="18"/>
                                <w:szCs w:val="18"/>
                              </w:rPr>
                              <w:t xml:space="preserve"> </w:t>
                            </w:r>
                            <w:r w:rsidRPr="00BD4428">
                              <w:rPr>
                                <w:spacing w:val="-1"/>
                                <w:sz w:val="18"/>
                                <w:szCs w:val="18"/>
                              </w:rPr>
                              <w:t>Platte</w:t>
                            </w:r>
                            <w:r w:rsidRPr="00BD4428">
                              <w:rPr>
                                <w:spacing w:val="-6"/>
                                <w:sz w:val="18"/>
                                <w:szCs w:val="18"/>
                              </w:rPr>
                              <w:t xml:space="preserve"> </w:t>
                            </w:r>
                            <w:r w:rsidRPr="00BD4428">
                              <w:rPr>
                                <w:spacing w:val="-1"/>
                                <w:sz w:val="18"/>
                                <w:szCs w:val="18"/>
                              </w:rPr>
                              <w:t>River</w:t>
                            </w:r>
                            <w:r w:rsidRPr="00BD4428">
                              <w:rPr>
                                <w:spacing w:val="-5"/>
                                <w:sz w:val="18"/>
                                <w:szCs w:val="18"/>
                              </w:rPr>
                              <w:t xml:space="preserve"> </w:t>
                            </w:r>
                            <w:r w:rsidRPr="00BD4428">
                              <w:rPr>
                                <w:sz w:val="18"/>
                                <w:szCs w:val="18"/>
                              </w:rPr>
                              <w:t>between</w:t>
                            </w:r>
                            <w:r w:rsidRPr="00BD4428">
                              <w:rPr>
                                <w:spacing w:val="-6"/>
                                <w:sz w:val="18"/>
                                <w:szCs w:val="18"/>
                              </w:rPr>
                              <w:t xml:space="preserve"> </w:t>
                            </w:r>
                            <w:r w:rsidRPr="00BD4428">
                              <w:rPr>
                                <w:spacing w:val="-1"/>
                                <w:sz w:val="18"/>
                                <w:szCs w:val="18"/>
                              </w:rPr>
                              <w:t>Lexington</w:t>
                            </w:r>
                            <w:r w:rsidRPr="00BD4428">
                              <w:rPr>
                                <w:spacing w:val="-7"/>
                                <w:sz w:val="18"/>
                                <w:szCs w:val="18"/>
                              </w:rPr>
                              <w:t xml:space="preserve"> </w:t>
                            </w:r>
                            <w:r w:rsidRPr="00BD4428">
                              <w:rPr>
                                <w:spacing w:val="-1"/>
                                <w:sz w:val="18"/>
                                <w:szCs w:val="18"/>
                              </w:rPr>
                              <w:t>and</w:t>
                            </w:r>
                            <w:r w:rsidRPr="00BD4428">
                              <w:rPr>
                                <w:spacing w:val="-5"/>
                                <w:sz w:val="18"/>
                                <w:szCs w:val="18"/>
                              </w:rPr>
                              <w:t xml:space="preserve"> </w:t>
                            </w:r>
                            <w:r w:rsidRPr="00BD4428">
                              <w:rPr>
                                <w:spacing w:val="-1"/>
                                <w:sz w:val="18"/>
                                <w:szCs w:val="18"/>
                              </w:rPr>
                              <w:t>Chapman,</w:t>
                            </w:r>
                            <w:r w:rsidRPr="00BD4428">
                              <w:rPr>
                                <w:spacing w:val="-6"/>
                                <w:sz w:val="18"/>
                                <w:szCs w:val="18"/>
                              </w:rPr>
                              <w:t xml:space="preserve"> </w:t>
                            </w:r>
                            <w:r w:rsidRPr="00BD4428">
                              <w:rPr>
                                <w:spacing w:val="-1"/>
                                <w:sz w:val="18"/>
                                <w:szCs w:val="18"/>
                              </w:rPr>
                              <w:t xml:space="preserve">Nebraska during 2001–2023. </w:t>
                            </w:r>
                            <w:r w:rsidRPr="00BD4428">
                              <w:rPr>
                                <w:sz w:val="18"/>
                                <w:szCs w:val="18"/>
                              </w:rPr>
                              <w:t>The black dotted line represents changes in protocol that occurred between 2009 and 2010, including an increase in monitoring effort. D</w:t>
                            </w:r>
                            <w:r w:rsidRPr="00BD4428">
                              <w:rPr>
                                <w:spacing w:val="-1"/>
                                <w:sz w:val="18"/>
                                <w:szCs w:val="18"/>
                              </w:rPr>
                              <w:t xml:space="preserve">ata from 2001–2009 (shaded area) </w:t>
                            </w:r>
                            <w:r w:rsidRPr="00BD4428">
                              <w:rPr>
                                <w:sz w:val="18"/>
                                <w:szCs w:val="18"/>
                              </w:rPr>
                              <w:t>may not be comparable to data from 2010</w:t>
                            </w:r>
                            <w:r w:rsidRPr="00BD4428">
                              <w:rPr>
                                <w:spacing w:val="-1"/>
                                <w:sz w:val="18"/>
                                <w:szCs w:val="18"/>
                              </w:rPr>
                              <w:t>–</w:t>
                            </w:r>
                            <w:r w:rsidRPr="00BD4428">
                              <w:rPr>
                                <w:sz w:val="18"/>
                                <w:szCs w:val="18"/>
                              </w:rPr>
                              <w:t xml:space="preserve">2023. Due to access restrictions </w:t>
                            </w:r>
                            <w:r w:rsidRPr="00BD4428">
                              <w:rPr>
                                <w:rFonts w:asciiTheme="minorHAnsi" w:hAnsiTheme="minorHAnsi" w:cstheme="minorHAnsi"/>
                                <w:sz w:val="18"/>
                                <w:szCs w:val="18"/>
                              </w:rPr>
                              <w:t>that limited monitoring at some sites, available habitat from 2001</w:t>
                            </w:r>
                            <w:r w:rsidRPr="00BD4428">
                              <w:rPr>
                                <w:rFonts w:asciiTheme="minorHAnsi" w:hAnsiTheme="minorHAnsi" w:cstheme="minorHAnsi"/>
                                <w:spacing w:val="-1"/>
                                <w:sz w:val="18"/>
                                <w:szCs w:val="18"/>
                              </w:rPr>
                              <w:t>–</w:t>
                            </w:r>
                            <w:r w:rsidRPr="00BD4428">
                              <w:rPr>
                                <w:rFonts w:asciiTheme="minorHAnsi" w:hAnsiTheme="minorHAnsi" w:cstheme="minorHAnsi"/>
                                <w:sz w:val="18"/>
                                <w:szCs w:val="18"/>
                              </w:rPr>
                              <w:t>2009 only included sites that were used in the reproductive and survival calculations each year.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5076666" id="_x0000_t202" coordsize="21600,21600" o:spt="202" path="m,l,21600r21600,l21600,xe">
                <v:stroke joinstyle="miter"/>
                <v:path gradientshapeok="t" o:connecttype="rect"/>
              </v:shapetype>
              <v:shape id="_x0000_s1026" type="#_x0000_t202" style="position:absolute;margin-left:0;margin-top:198.4pt;width:316.8pt;height:110.6pt;z-index:251719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">
                <v:textbox style="mso-fit-shape-to-text:t">
                  <w:txbxContent>
                    <w:p w14:paraId="4AF9291F" w14:textId="15144D8B" w:rsidR="0083040E" w:rsidRDefault="0083040E">
                      <w:r w:rsidRPr="00393638">
                        <w:rPr>
                          <w:b/>
                          <w:bCs/>
                          <w:spacing w:val="-1"/>
                          <w:sz w:val="18"/>
                          <w:szCs w:val="18"/>
                        </w:rPr>
                        <w:t>Figure</w:t>
                      </w:r>
                      <w:r w:rsidRPr="00393638">
                        <w:rPr>
                          <w:b/>
                          <w:bCs/>
                          <w:spacing w:val="-7"/>
                          <w:sz w:val="18"/>
                          <w:szCs w:val="18"/>
                        </w:rPr>
                        <w:t xml:space="preserve"> </w:t>
                      </w:r>
                      <w:r w:rsidR="00032AFE">
                        <w:rPr>
                          <w:b/>
                          <w:bCs/>
                          <w:sz w:val="18"/>
                          <w:szCs w:val="18"/>
                        </w:rPr>
                        <w:t>2</w:t>
                      </w:r>
                      <w:r w:rsidRPr="00393638">
                        <w:rPr>
                          <w:b/>
                          <w:bCs/>
                          <w:sz w:val="18"/>
                          <w:szCs w:val="18"/>
                        </w:rPr>
                        <w:t>.</w:t>
                      </w:r>
                      <w:r w:rsidRPr="00393638">
                        <w:rPr>
                          <w:b/>
                          <w:bCs/>
                          <w:spacing w:val="-5"/>
                          <w:sz w:val="18"/>
                          <w:szCs w:val="18"/>
                        </w:rPr>
                        <w:t xml:space="preserve"> </w:t>
                      </w:r>
                      <w:r w:rsidRPr="00BD4428">
                        <w:rPr>
                          <w:spacing w:val="-1"/>
                          <w:sz w:val="18"/>
                          <w:szCs w:val="18"/>
                        </w:rPr>
                        <w:t>Annual variability in the total</w:t>
                      </w:r>
                      <w:r w:rsidRPr="00BD4428">
                        <w:rPr>
                          <w:spacing w:val="-5"/>
                          <w:sz w:val="18"/>
                          <w:szCs w:val="18"/>
                        </w:rPr>
                        <w:t xml:space="preserve"> </w:t>
                      </w:r>
                      <w:r w:rsidRPr="00BD4428">
                        <w:rPr>
                          <w:sz w:val="18"/>
                          <w:szCs w:val="18"/>
                        </w:rPr>
                        <w:t>numbers of</w:t>
                      </w:r>
                      <w:r w:rsidRPr="00BD4428">
                        <w:rPr>
                          <w:spacing w:val="-7"/>
                          <w:sz w:val="18"/>
                          <w:szCs w:val="18"/>
                        </w:rPr>
                        <w:t xml:space="preserve"> </w:t>
                      </w:r>
                      <w:r w:rsidRPr="00BD4428">
                        <w:rPr>
                          <w:spacing w:val="-1"/>
                          <w:sz w:val="18"/>
                          <w:szCs w:val="18"/>
                        </w:rPr>
                        <w:t>piping plover</w:t>
                      </w:r>
                      <w:r w:rsidRPr="00BD4428">
                        <w:rPr>
                          <w:spacing w:val="-6"/>
                          <w:sz w:val="18"/>
                          <w:szCs w:val="18"/>
                        </w:rPr>
                        <w:t xml:space="preserve"> </w:t>
                      </w:r>
                      <w:r w:rsidRPr="00BD4428">
                        <w:rPr>
                          <w:spacing w:val="-1"/>
                          <w:sz w:val="18"/>
                          <w:szCs w:val="18"/>
                        </w:rPr>
                        <w:t>nests (green line),</w:t>
                      </w:r>
                      <w:r w:rsidRPr="00BD4428">
                        <w:rPr>
                          <w:spacing w:val="-4"/>
                          <w:sz w:val="18"/>
                          <w:szCs w:val="18"/>
                        </w:rPr>
                        <w:t xml:space="preserve"> peak estimated </w:t>
                      </w:r>
                      <w:r w:rsidRPr="00BD4428">
                        <w:rPr>
                          <w:spacing w:val="-1"/>
                          <w:sz w:val="18"/>
                          <w:szCs w:val="18"/>
                        </w:rPr>
                        <w:t>breeding</w:t>
                      </w:r>
                      <w:r w:rsidRPr="00BD4428">
                        <w:rPr>
                          <w:spacing w:val="-6"/>
                          <w:sz w:val="18"/>
                          <w:szCs w:val="18"/>
                        </w:rPr>
                        <w:t xml:space="preserve"> </w:t>
                      </w:r>
                      <w:r w:rsidRPr="00BD4428">
                        <w:rPr>
                          <w:spacing w:val="-1"/>
                          <w:sz w:val="18"/>
                          <w:szCs w:val="18"/>
                        </w:rPr>
                        <w:t>pairs (orange line),</w:t>
                      </w:r>
                      <w:r w:rsidRPr="00BD4428">
                        <w:rPr>
                          <w:spacing w:val="-2"/>
                          <w:sz w:val="18"/>
                          <w:szCs w:val="18"/>
                        </w:rPr>
                        <w:t xml:space="preserve"> </w:t>
                      </w:r>
                      <w:r w:rsidRPr="00BD4428">
                        <w:rPr>
                          <w:sz w:val="18"/>
                          <w:szCs w:val="18"/>
                        </w:rPr>
                        <w:t>brood counts (purple line)</w:t>
                      </w:r>
                      <w:r w:rsidRPr="00BD4428">
                        <w:rPr>
                          <w:spacing w:val="-1"/>
                          <w:sz w:val="18"/>
                          <w:szCs w:val="18"/>
                        </w:rPr>
                        <w:t>,</w:t>
                      </w:r>
                      <w:r w:rsidRPr="00BD4428">
                        <w:rPr>
                          <w:spacing w:val="-3"/>
                          <w:sz w:val="18"/>
                          <w:szCs w:val="18"/>
                        </w:rPr>
                        <w:t xml:space="preserve"> </w:t>
                      </w:r>
                      <w:r w:rsidRPr="00BD4428">
                        <w:rPr>
                          <w:spacing w:val="-5"/>
                          <w:sz w:val="18"/>
                          <w:szCs w:val="18"/>
                        </w:rPr>
                        <w:t>and total on- and off-channel habitat available (acres; blue bars)</w:t>
                      </w:r>
                      <w:r w:rsidRPr="00BD4428">
                        <w:rPr>
                          <w:spacing w:val="-1"/>
                          <w:sz w:val="18"/>
                          <w:szCs w:val="18"/>
                        </w:rPr>
                        <w:t xml:space="preserve"> observed within</w:t>
                      </w:r>
                      <w:r w:rsidRPr="00BD4428">
                        <w:rPr>
                          <w:spacing w:val="-6"/>
                          <w:sz w:val="18"/>
                          <w:szCs w:val="18"/>
                        </w:rPr>
                        <w:t xml:space="preserve"> </w:t>
                      </w:r>
                      <w:r w:rsidRPr="00BD4428">
                        <w:rPr>
                          <w:spacing w:val="-1"/>
                          <w:sz w:val="18"/>
                          <w:szCs w:val="18"/>
                        </w:rPr>
                        <w:t>the</w:t>
                      </w:r>
                      <w:r w:rsidRPr="00BD4428">
                        <w:rPr>
                          <w:spacing w:val="-4"/>
                          <w:sz w:val="18"/>
                          <w:szCs w:val="18"/>
                        </w:rPr>
                        <w:t xml:space="preserve"> </w:t>
                      </w:r>
                      <w:r w:rsidRPr="00BD4428">
                        <w:rPr>
                          <w:sz w:val="18"/>
                          <w:szCs w:val="18"/>
                        </w:rPr>
                        <w:t>Program</w:t>
                      </w:r>
                      <w:r w:rsidRPr="00BD4428">
                        <w:rPr>
                          <w:spacing w:val="-6"/>
                          <w:sz w:val="18"/>
                          <w:szCs w:val="18"/>
                        </w:rPr>
                        <w:t xml:space="preserve"> </w:t>
                      </w:r>
                      <w:r w:rsidRPr="00BD4428">
                        <w:rPr>
                          <w:spacing w:val="-1"/>
                          <w:sz w:val="18"/>
                          <w:szCs w:val="18"/>
                        </w:rPr>
                        <w:t>Associated</w:t>
                      </w:r>
                      <w:r w:rsidRPr="00BD4428">
                        <w:rPr>
                          <w:spacing w:val="-4"/>
                          <w:sz w:val="18"/>
                          <w:szCs w:val="18"/>
                        </w:rPr>
                        <w:t xml:space="preserve"> </w:t>
                      </w:r>
                      <w:r w:rsidRPr="00BD4428">
                        <w:rPr>
                          <w:spacing w:val="-1"/>
                          <w:sz w:val="18"/>
                          <w:szCs w:val="18"/>
                        </w:rPr>
                        <w:t>Habitat</w:t>
                      </w:r>
                      <w:r w:rsidRPr="00BD4428">
                        <w:rPr>
                          <w:spacing w:val="91"/>
                          <w:w w:val="99"/>
                          <w:sz w:val="18"/>
                          <w:szCs w:val="18"/>
                        </w:rPr>
                        <w:t xml:space="preserve"> </w:t>
                      </w:r>
                      <w:r w:rsidRPr="00BD4428">
                        <w:rPr>
                          <w:spacing w:val="-1"/>
                          <w:sz w:val="18"/>
                          <w:szCs w:val="18"/>
                        </w:rPr>
                        <w:t xml:space="preserve">Reach </w:t>
                      </w:r>
                      <w:r w:rsidRPr="00BD4428">
                        <w:rPr>
                          <w:sz w:val="18"/>
                          <w:szCs w:val="18"/>
                        </w:rPr>
                        <w:t>along</w:t>
                      </w:r>
                      <w:r w:rsidRPr="00BD4428">
                        <w:rPr>
                          <w:spacing w:val="-7"/>
                          <w:sz w:val="18"/>
                          <w:szCs w:val="18"/>
                        </w:rPr>
                        <w:t xml:space="preserve"> </w:t>
                      </w:r>
                      <w:r w:rsidRPr="00BD4428">
                        <w:rPr>
                          <w:sz w:val="18"/>
                          <w:szCs w:val="18"/>
                        </w:rPr>
                        <w:t>the</w:t>
                      </w:r>
                      <w:r w:rsidRPr="00BD4428">
                        <w:rPr>
                          <w:spacing w:val="-6"/>
                          <w:sz w:val="18"/>
                          <w:szCs w:val="18"/>
                        </w:rPr>
                        <w:t xml:space="preserve"> </w:t>
                      </w:r>
                      <w:r w:rsidRPr="00BD4428">
                        <w:rPr>
                          <w:spacing w:val="-1"/>
                          <w:sz w:val="18"/>
                          <w:szCs w:val="18"/>
                        </w:rPr>
                        <w:t>Platte</w:t>
                      </w:r>
                      <w:r w:rsidRPr="00BD4428">
                        <w:rPr>
                          <w:spacing w:val="-6"/>
                          <w:sz w:val="18"/>
                          <w:szCs w:val="18"/>
                        </w:rPr>
                        <w:t xml:space="preserve"> </w:t>
                      </w:r>
                      <w:r w:rsidRPr="00BD4428">
                        <w:rPr>
                          <w:spacing w:val="-1"/>
                          <w:sz w:val="18"/>
                          <w:szCs w:val="18"/>
                        </w:rPr>
                        <w:t>River</w:t>
                      </w:r>
                      <w:r w:rsidRPr="00BD4428">
                        <w:rPr>
                          <w:spacing w:val="-5"/>
                          <w:sz w:val="18"/>
                          <w:szCs w:val="18"/>
                        </w:rPr>
                        <w:t xml:space="preserve"> </w:t>
                      </w:r>
                      <w:r w:rsidRPr="00BD4428">
                        <w:rPr>
                          <w:sz w:val="18"/>
                          <w:szCs w:val="18"/>
                        </w:rPr>
                        <w:t>between</w:t>
                      </w:r>
                      <w:r w:rsidRPr="00BD4428">
                        <w:rPr>
                          <w:spacing w:val="-6"/>
                          <w:sz w:val="18"/>
                          <w:szCs w:val="18"/>
                        </w:rPr>
                        <w:t xml:space="preserve"> </w:t>
                      </w:r>
                      <w:r w:rsidRPr="00BD4428">
                        <w:rPr>
                          <w:spacing w:val="-1"/>
                          <w:sz w:val="18"/>
                          <w:szCs w:val="18"/>
                        </w:rPr>
                        <w:t>Lexington</w:t>
                      </w:r>
                      <w:r w:rsidRPr="00BD4428">
                        <w:rPr>
                          <w:spacing w:val="-7"/>
                          <w:sz w:val="18"/>
                          <w:szCs w:val="18"/>
                        </w:rPr>
                        <w:t xml:space="preserve"> </w:t>
                      </w:r>
                      <w:r w:rsidRPr="00BD4428">
                        <w:rPr>
                          <w:spacing w:val="-1"/>
                          <w:sz w:val="18"/>
                          <w:szCs w:val="18"/>
                        </w:rPr>
                        <w:t>and</w:t>
                      </w:r>
                      <w:r w:rsidRPr="00BD4428">
                        <w:rPr>
                          <w:spacing w:val="-5"/>
                          <w:sz w:val="18"/>
                          <w:szCs w:val="18"/>
                        </w:rPr>
                        <w:t xml:space="preserve"> </w:t>
                      </w:r>
                      <w:r w:rsidRPr="00BD4428">
                        <w:rPr>
                          <w:spacing w:val="-1"/>
                          <w:sz w:val="18"/>
                          <w:szCs w:val="18"/>
                        </w:rPr>
                        <w:t>Chapman,</w:t>
                      </w:r>
                      <w:r w:rsidRPr="00BD4428">
                        <w:rPr>
                          <w:spacing w:val="-6"/>
                          <w:sz w:val="18"/>
                          <w:szCs w:val="18"/>
                        </w:rPr>
                        <w:t xml:space="preserve"> </w:t>
                      </w:r>
                      <w:r w:rsidRPr="00BD4428">
                        <w:rPr>
                          <w:spacing w:val="-1"/>
                          <w:sz w:val="18"/>
                          <w:szCs w:val="18"/>
                        </w:rPr>
                        <w:t xml:space="preserve">Nebraska during 2001–2023. </w:t>
                      </w:r>
                      <w:r w:rsidRPr="00BD4428">
                        <w:rPr>
                          <w:sz w:val="18"/>
                          <w:szCs w:val="18"/>
                        </w:rPr>
                        <w:t>The black dotted line represents changes in protocol that occurred between 2009 and 2010, including an increase in monitoring effort. D</w:t>
                      </w:r>
                      <w:r w:rsidRPr="00BD4428">
                        <w:rPr>
                          <w:spacing w:val="-1"/>
                          <w:sz w:val="18"/>
                          <w:szCs w:val="18"/>
                        </w:rPr>
                        <w:t xml:space="preserve">ata from 2001–2009 (shaded area) </w:t>
                      </w:r>
                      <w:r w:rsidRPr="00BD4428">
                        <w:rPr>
                          <w:sz w:val="18"/>
                          <w:szCs w:val="18"/>
                        </w:rPr>
                        <w:t>may not be comparable to data from 2010</w:t>
                      </w:r>
                      <w:r w:rsidRPr="00BD4428">
                        <w:rPr>
                          <w:spacing w:val="-1"/>
                          <w:sz w:val="18"/>
                          <w:szCs w:val="18"/>
                        </w:rPr>
                        <w:t>–</w:t>
                      </w:r>
                      <w:r w:rsidRPr="00BD4428">
                        <w:rPr>
                          <w:sz w:val="18"/>
                          <w:szCs w:val="18"/>
                        </w:rPr>
                        <w:t xml:space="preserve">2023. Due to access restrictions </w:t>
                      </w:r>
                      <w:r w:rsidRPr="00BD4428">
                        <w:rPr>
                          <w:rFonts w:asciiTheme="minorHAnsi" w:hAnsiTheme="minorHAnsi" w:cstheme="minorHAnsi"/>
                          <w:sz w:val="18"/>
                          <w:szCs w:val="18"/>
                        </w:rPr>
                        <w:t>that limited monitoring at some sites, available habitat from 2001</w:t>
                      </w:r>
                      <w:r w:rsidRPr="00BD4428">
                        <w:rPr>
                          <w:rFonts w:asciiTheme="minorHAnsi" w:hAnsiTheme="minorHAnsi" w:cstheme="minorHAnsi"/>
                          <w:spacing w:val="-1"/>
                          <w:sz w:val="18"/>
                          <w:szCs w:val="18"/>
                        </w:rPr>
                        <w:t>–</w:t>
                      </w:r>
                      <w:r w:rsidRPr="00BD4428">
                        <w:rPr>
                          <w:rFonts w:asciiTheme="minorHAnsi" w:hAnsiTheme="minorHAnsi" w:cstheme="minorHAnsi"/>
                          <w:sz w:val="18"/>
                          <w:szCs w:val="18"/>
                        </w:rPr>
                        <w:t>2009 only included sites that were used in the reproductive and survival calculations each year.</w:t>
                      </w:r>
                    </w:p>
                  </w:txbxContent>
                </v:textbox>
                <w10:wrap type="square"/>
              </v:shape>
            </w:pict>
          </mc:Fallback>
        </mc:AlternateContent>
      </w:r>
      <w:r w:rsidRPr="00393638">
        <w:rPr>
          <w:noProof/>
        </w:rPr>
        <w:drawing>
          <wp:anchor distT="0" distB="0" distL="114300" distR="114300" simplePos="0" relativeHeight="251717632" behindDoc="1" locked="0" layoutInCell="1" allowOverlap="1" wp14:anchorId="13D9F1F2" wp14:editId="15DBC61E">
            <wp:simplePos x="0" y="0"/>
            <wp:positionH relativeFrom="column">
              <wp:posOffset>0</wp:posOffset>
            </wp:positionH>
            <wp:positionV relativeFrom="paragraph">
              <wp:posOffset>58420</wp:posOffset>
            </wp:positionV>
            <wp:extent cx="4076700" cy="2433320"/>
            <wp:effectExtent l="0" t="0" r="0" b="5080"/>
            <wp:wrapTight wrapText="bothSides">
              <wp:wrapPolygon edited="0">
                <wp:start x="0" y="0"/>
                <wp:lineTo x="0" y="21476"/>
                <wp:lineTo x="21499" y="21476"/>
                <wp:lineTo x="21499" y="0"/>
                <wp:lineTo x="0" y="0"/>
              </wp:wrapPolygon>
            </wp:wrapTight>
            <wp:docPr id="986468473" name="Picture 1" descr="A graph of a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68473" name="Picture 1" descr="A graph of a bird&#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076700" cy="2433320"/>
                    </a:xfrm>
                    <a:prstGeom prst="rect">
                      <a:avLst/>
                    </a:prstGeom>
                  </pic:spPr>
                </pic:pic>
              </a:graphicData>
            </a:graphic>
            <wp14:sizeRelH relativeFrom="margin">
              <wp14:pctWidth>0</wp14:pctWidth>
            </wp14:sizeRelH>
            <wp14:sizeRelV relativeFrom="margin">
              <wp14:pctHeight>0</wp14:pctHeight>
            </wp14:sizeRelV>
          </wp:anchor>
        </w:drawing>
      </w:r>
      <w:r w:rsidR="0058537B" w:rsidRPr="00974846">
        <w:rPr>
          <w:rFonts w:asciiTheme="minorHAnsi" w:hAnsiTheme="minorHAnsi" w:cstheme="minorHAnsi"/>
        </w:rPr>
        <w:t>The area of potential PP nesting habitat at off-channel sand and water (OCSW) sites has increased over time and remained at ~250 ac over the past three years (</w:t>
      </w:r>
      <w:r w:rsidRPr="0083040E">
        <w:rPr>
          <w:rFonts w:asciiTheme="minorHAnsi" w:hAnsiTheme="minorHAnsi" w:cstheme="minorHAnsi"/>
          <w:b/>
          <w:bCs/>
        </w:rPr>
        <w:t xml:space="preserve">Figure </w:t>
      </w:r>
      <w:r w:rsidR="00032AFE">
        <w:rPr>
          <w:rFonts w:asciiTheme="minorHAnsi" w:hAnsiTheme="minorHAnsi" w:cstheme="minorHAnsi"/>
          <w:b/>
          <w:bCs/>
        </w:rPr>
        <w:t>2</w:t>
      </w:r>
      <w:r w:rsidR="0058537B" w:rsidRPr="00974846">
        <w:rPr>
          <w:rFonts w:asciiTheme="minorHAnsi" w:hAnsiTheme="minorHAnsi" w:cstheme="minorHAnsi"/>
        </w:rPr>
        <w:t>)</w:t>
      </w:r>
      <w:r w:rsidR="00244B8F" w:rsidRPr="00974846">
        <w:rPr>
          <w:rFonts w:asciiTheme="minorHAnsi" w:hAnsiTheme="minorHAnsi" w:cstheme="minorHAnsi"/>
        </w:rPr>
        <w:t xml:space="preserve">. </w:t>
      </w:r>
      <w:r w:rsidR="0058537B" w:rsidRPr="00974846">
        <w:rPr>
          <w:rFonts w:asciiTheme="minorHAnsi" w:hAnsiTheme="minorHAnsi" w:cstheme="minorHAnsi"/>
        </w:rPr>
        <w:t xml:space="preserve">After the Program increased efforts to </w:t>
      </w:r>
      <w:r w:rsidR="0058537B">
        <w:rPr>
          <w:rFonts w:asciiTheme="minorHAnsi" w:hAnsiTheme="minorHAnsi" w:cstheme="minorHAnsi"/>
        </w:rPr>
        <w:t>construct, manage,</w:t>
      </w:r>
      <w:r w:rsidR="0058537B" w:rsidRPr="00974846">
        <w:rPr>
          <w:rFonts w:asciiTheme="minorHAnsi" w:hAnsiTheme="minorHAnsi" w:cstheme="minorHAnsi"/>
        </w:rPr>
        <w:t xml:space="preserve"> and maintain suitable off-channel nesting habitat</w:t>
      </w:r>
      <w:r w:rsidR="0058537B">
        <w:rPr>
          <w:rFonts w:asciiTheme="minorHAnsi" w:hAnsiTheme="minorHAnsi" w:cstheme="minorHAnsi"/>
        </w:rPr>
        <w:t xml:space="preserve"> beginning</w:t>
      </w:r>
      <w:r w:rsidR="0058537B" w:rsidRPr="00974846">
        <w:rPr>
          <w:rFonts w:asciiTheme="minorHAnsi" w:hAnsiTheme="minorHAnsi" w:cstheme="minorHAnsi"/>
        </w:rPr>
        <w:t xml:space="preserve"> in 2010, there was an overall positive trend in the number of PP nests, estimated breeding pairs</w:t>
      </w:r>
      <w:r w:rsidR="0058537B">
        <w:rPr>
          <w:rFonts w:asciiTheme="minorHAnsi" w:hAnsiTheme="minorHAnsi" w:cstheme="minorHAnsi"/>
        </w:rPr>
        <w:t xml:space="preserve"> (BPE)</w:t>
      </w:r>
      <w:r w:rsidR="0058537B" w:rsidRPr="00974846">
        <w:rPr>
          <w:rFonts w:asciiTheme="minorHAnsi" w:hAnsiTheme="minorHAnsi" w:cstheme="minorHAnsi"/>
        </w:rPr>
        <w:t>, and broods until these metrics peaked in 2016</w:t>
      </w:r>
      <w:r w:rsidR="0058537B">
        <w:rPr>
          <w:rFonts w:asciiTheme="minorHAnsi" w:hAnsiTheme="minorHAnsi" w:cstheme="minorHAnsi"/>
        </w:rPr>
        <w:t xml:space="preserve"> </w:t>
      </w:r>
      <w:r w:rsidR="0058537B" w:rsidRPr="00974846">
        <w:rPr>
          <w:rFonts w:asciiTheme="minorHAnsi" w:hAnsiTheme="minorHAnsi" w:cstheme="minorHAnsi"/>
        </w:rPr>
        <w:t>(</w:t>
      </w:r>
      <w:r w:rsidR="0058537B" w:rsidRPr="0048551E">
        <w:rPr>
          <w:rFonts w:asciiTheme="minorHAnsi" w:hAnsiTheme="minorHAnsi" w:cstheme="minorHAnsi"/>
          <w:b/>
          <w:bCs/>
        </w:rPr>
        <w:t xml:space="preserve">Figure </w:t>
      </w:r>
      <w:r w:rsidR="00032AFE">
        <w:rPr>
          <w:rFonts w:asciiTheme="minorHAnsi" w:hAnsiTheme="minorHAnsi" w:cstheme="minorHAnsi"/>
          <w:b/>
          <w:bCs/>
        </w:rPr>
        <w:t>2</w:t>
      </w:r>
      <w:r w:rsidR="0058537B" w:rsidRPr="00974846">
        <w:rPr>
          <w:rFonts w:asciiTheme="minorHAnsi" w:hAnsiTheme="minorHAnsi" w:cstheme="minorHAnsi"/>
        </w:rPr>
        <w:t>)</w:t>
      </w:r>
      <w:r w:rsidR="00244B8F" w:rsidRPr="00974846">
        <w:rPr>
          <w:rFonts w:asciiTheme="minorHAnsi" w:hAnsiTheme="minorHAnsi" w:cstheme="minorHAnsi"/>
        </w:rPr>
        <w:t xml:space="preserve">. </w:t>
      </w:r>
      <w:r w:rsidR="0058537B" w:rsidRPr="00974846">
        <w:rPr>
          <w:rFonts w:asciiTheme="minorHAnsi" w:hAnsiTheme="minorHAnsi" w:cstheme="minorHAnsi"/>
        </w:rPr>
        <w:t xml:space="preserve">Since 2016, we have documented annual </w:t>
      </w:r>
      <w:r w:rsidR="0058537B">
        <w:rPr>
          <w:rFonts w:asciiTheme="minorHAnsi" w:hAnsiTheme="minorHAnsi" w:cstheme="minorHAnsi"/>
        </w:rPr>
        <w:t xml:space="preserve">fluctuations in each of these metrics with some demonstrating wide interannual </w:t>
      </w:r>
      <w:r w:rsidR="0058537B" w:rsidRPr="00974846">
        <w:rPr>
          <w:rFonts w:asciiTheme="minorHAnsi" w:hAnsiTheme="minorHAnsi" w:cstheme="minorHAnsi"/>
        </w:rPr>
        <w:t>variability</w:t>
      </w:r>
      <w:r w:rsidR="0048551E">
        <w:rPr>
          <w:rFonts w:asciiTheme="minorHAnsi" w:hAnsiTheme="minorHAnsi" w:cstheme="minorHAnsi"/>
        </w:rPr>
        <w:t xml:space="preserve">. </w:t>
      </w:r>
      <w:r w:rsidR="0058537B">
        <w:rPr>
          <w:rFonts w:asciiTheme="minorHAnsi" w:hAnsiTheme="minorHAnsi" w:cstheme="minorHAnsi"/>
        </w:rPr>
        <w:t xml:space="preserve">The number of PP nests has ranged from 47 to 60 nests, and the estimated number of breeding pairs has varied between 32 and 45 </w:t>
      </w:r>
      <w:r w:rsidR="0058537B" w:rsidRPr="0086161E">
        <w:rPr>
          <w:rFonts w:asciiTheme="minorHAnsi" w:hAnsiTheme="minorHAnsi" w:cstheme="minorHAnsi"/>
        </w:rPr>
        <w:t>pairs at OCSW sites (</w:t>
      </w:r>
      <w:r w:rsidR="0058537B" w:rsidRPr="0048551E">
        <w:rPr>
          <w:rFonts w:asciiTheme="minorHAnsi" w:hAnsiTheme="minorHAnsi" w:cstheme="minorHAnsi"/>
          <w:b/>
          <w:bCs/>
        </w:rPr>
        <w:t xml:space="preserve">Figure </w:t>
      </w:r>
      <w:r w:rsidR="00032AFE">
        <w:rPr>
          <w:rFonts w:asciiTheme="minorHAnsi" w:hAnsiTheme="minorHAnsi" w:cstheme="minorHAnsi"/>
          <w:b/>
          <w:bCs/>
        </w:rPr>
        <w:t>2</w:t>
      </w:r>
      <w:r w:rsidR="0058537B" w:rsidRPr="0086161E">
        <w:rPr>
          <w:rFonts w:asciiTheme="minorHAnsi" w:hAnsiTheme="minorHAnsi" w:cstheme="minorHAnsi"/>
        </w:rPr>
        <w:t>)</w:t>
      </w:r>
      <w:r w:rsidR="00244B8F" w:rsidRPr="0086161E">
        <w:rPr>
          <w:rFonts w:asciiTheme="minorHAnsi" w:hAnsiTheme="minorHAnsi" w:cstheme="minorHAnsi"/>
        </w:rPr>
        <w:t xml:space="preserve">. </w:t>
      </w:r>
      <w:r w:rsidR="0058537B" w:rsidRPr="0086161E">
        <w:rPr>
          <w:rFonts w:asciiTheme="minorHAnsi" w:hAnsiTheme="minorHAnsi" w:cstheme="minorHAnsi"/>
        </w:rPr>
        <w:t>Overall, we have observed a significant, positive relationship between the estimated number of plover breeding pairs and area of potential nesting habitat at OCSW sites since 2001</w:t>
      </w:r>
      <w:r w:rsidR="002C5E9D">
        <w:rPr>
          <w:rFonts w:asciiTheme="minorHAnsi" w:hAnsiTheme="minorHAnsi" w:cstheme="minorHAnsi"/>
        </w:rPr>
        <w:t xml:space="preserve"> (</w:t>
      </w:r>
      <w:r w:rsidR="002C5E9D" w:rsidRPr="00AE5E62">
        <w:rPr>
          <w:rFonts w:asciiTheme="minorHAnsi" w:hAnsiTheme="minorHAnsi" w:cstheme="minorHAnsi"/>
          <w:b/>
          <w:bCs/>
        </w:rPr>
        <w:t xml:space="preserve">Figure </w:t>
      </w:r>
      <w:r w:rsidR="00032AFE">
        <w:rPr>
          <w:rFonts w:asciiTheme="minorHAnsi" w:hAnsiTheme="minorHAnsi" w:cstheme="minorHAnsi"/>
          <w:b/>
          <w:bCs/>
        </w:rPr>
        <w:t>2</w:t>
      </w:r>
      <w:r w:rsidR="002C5E9D">
        <w:rPr>
          <w:rFonts w:asciiTheme="minorHAnsi" w:hAnsiTheme="minorHAnsi" w:cstheme="minorHAnsi"/>
        </w:rPr>
        <w:t>)</w:t>
      </w:r>
      <w:r w:rsidR="0058537B" w:rsidRPr="0086161E">
        <w:rPr>
          <w:rFonts w:asciiTheme="minorHAnsi" w:hAnsiTheme="minorHAnsi" w:cstheme="minorHAnsi"/>
        </w:rPr>
        <w:t>.</w:t>
      </w:r>
    </w:p>
    <w:p w14:paraId="5D88166D" w14:textId="609C09FD" w:rsidR="0058537B" w:rsidRPr="0086161E" w:rsidRDefault="0058537B" w:rsidP="0058537B">
      <w:pPr>
        <w:rPr>
          <w:rFonts w:asciiTheme="minorHAnsi" w:hAnsiTheme="minorHAnsi" w:cstheme="minorHAnsi"/>
        </w:rPr>
      </w:pPr>
    </w:p>
    <w:p w14:paraId="04B9DCFC" w14:textId="2B30A64F" w:rsidR="000C36A5" w:rsidRPr="0083040E" w:rsidRDefault="0058537B" w:rsidP="00E70573">
      <w:pPr>
        <w:rPr>
          <w:rFonts w:asciiTheme="minorHAnsi" w:hAnsiTheme="minorHAnsi" w:cstheme="minorHAnsi"/>
        </w:rPr>
      </w:pPr>
      <w:r w:rsidRPr="00F16827">
        <w:rPr>
          <w:rFonts w:asciiTheme="minorHAnsi" w:hAnsiTheme="minorHAnsi" w:cstheme="minorHAnsi"/>
        </w:rPr>
        <w:t>Fledge ratios are one of the indicators used by the Program to measure reproductive success of PP over time and we have observed a positive trend in PP fledge ratios over the past several years after a low of 0.62 chicks/BPE in 2018</w:t>
      </w:r>
      <w:r w:rsidR="00244B8F" w:rsidRPr="00F16827">
        <w:rPr>
          <w:rFonts w:asciiTheme="minorHAnsi" w:hAnsiTheme="minorHAnsi" w:cstheme="minorHAnsi"/>
        </w:rPr>
        <w:t xml:space="preserve">. </w:t>
      </w:r>
      <w:r w:rsidRPr="00F16827">
        <w:rPr>
          <w:rFonts w:asciiTheme="minorHAnsi" w:hAnsiTheme="minorHAnsi" w:cstheme="minorHAnsi"/>
        </w:rPr>
        <w:t>Plover fledge ratios at monitored sites during 2023 were 1.41 chicks/BPE, which represented a slight increase over the 1.37 chicks/BPE recorded during 2022 and a marked increase over the 2018 low</w:t>
      </w:r>
      <w:r w:rsidR="00244B8F" w:rsidRPr="00F16827">
        <w:rPr>
          <w:rFonts w:asciiTheme="minorHAnsi" w:hAnsiTheme="minorHAnsi" w:cstheme="minorHAnsi"/>
        </w:rPr>
        <w:t xml:space="preserve">. </w:t>
      </w:r>
      <w:r w:rsidRPr="00F16827">
        <w:rPr>
          <w:rFonts w:asciiTheme="minorHAnsi" w:hAnsiTheme="minorHAnsi" w:cstheme="minorHAnsi"/>
        </w:rPr>
        <w:t>Through 2023, our PP monitoring efforts documented continued increases in PP nest productivity metrics</w:t>
      </w:r>
      <w:r w:rsidR="00244B8F" w:rsidRPr="00F16827">
        <w:rPr>
          <w:rFonts w:asciiTheme="minorHAnsi" w:hAnsiTheme="minorHAnsi" w:cstheme="minorHAnsi"/>
        </w:rPr>
        <w:t xml:space="preserve">. </w:t>
      </w:r>
      <w:r w:rsidRPr="00F16827">
        <w:rPr>
          <w:rFonts w:asciiTheme="minorHAnsi" w:hAnsiTheme="minorHAnsi" w:cstheme="minorHAnsi"/>
        </w:rPr>
        <w:t>The number of PP fledglings and fledge ratios observed during 2023 were the highest since 2012 and 2014, respectively, which was shortly after the Program began constructing and adding more potential nesting habitat at OCSW sites</w:t>
      </w:r>
      <w:r w:rsidR="00244B8F" w:rsidRPr="00F16827">
        <w:rPr>
          <w:rFonts w:asciiTheme="minorHAnsi" w:hAnsiTheme="minorHAnsi" w:cstheme="minorHAnsi"/>
        </w:rPr>
        <w:t xml:space="preserve">. </w:t>
      </w:r>
      <w:r w:rsidRPr="00F16827">
        <w:rPr>
          <w:rFonts w:asciiTheme="minorHAnsi" w:hAnsiTheme="minorHAnsi" w:cstheme="minorHAnsi"/>
        </w:rPr>
        <w:t>During 2023, we also documented the highest apparent nest success (0.83</w:t>
      </w:r>
      <w:r w:rsidR="000D6EE8">
        <w:rPr>
          <w:rFonts w:asciiTheme="minorHAnsi" w:hAnsiTheme="minorHAnsi" w:cstheme="minorHAnsi"/>
        </w:rPr>
        <w:t xml:space="preserve"> successful nests/total nests</w:t>
      </w:r>
      <w:r w:rsidRPr="00F16827">
        <w:rPr>
          <w:rFonts w:asciiTheme="minorHAnsi" w:hAnsiTheme="minorHAnsi" w:cstheme="minorHAnsi"/>
        </w:rPr>
        <w:t>) and number of chicks (</w:t>
      </w:r>
      <w:r>
        <w:rPr>
          <w:rFonts w:asciiTheme="minorHAnsi" w:hAnsiTheme="minorHAnsi" w:cstheme="minorHAnsi"/>
        </w:rPr>
        <w:t xml:space="preserve">143 chicks </w:t>
      </w:r>
      <w:r w:rsidRPr="00F16827">
        <w:rPr>
          <w:rFonts w:asciiTheme="minorHAnsi" w:hAnsiTheme="minorHAnsi" w:cstheme="minorHAnsi"/>
        </w:rPr>
        <w:t>&lt;15 days old) during the contemporary 2010–2023 monitoring period</w:t>
      </w:r>
      <w:r w:rsidR="00244B8F" w:rsidRPr="00F16827">
        <w:rPr>
          <w:rFonts w:asciiTheme="minorHAnsi" w:hAnsiTheme="minorHAnsi" w:cstheme="minorHAnsi"/>
        </w:rPr>
        <w:t xml:space="preserve">. </w:t>
      </w:r>
      <w:r w:rsidRPr="00F16827">
        <w:rPr>
          <w:rFonts w:asciiTheme="minorHAnsi" w:hAnsiTheme="minorHAnsi" w:cstheme="minorHAnsi"/>
        </w:rPr>
        <w:t>These increases in nest success and productivity were likely attributable to fewer severe weather events during summer 2023 and a decrease in predation of nests and chicks relative to previous years.</w:t>
      </w:r>
      <w:r w:rsidR="000C36A5">
        <w:br w:type="page"/>
      </w:r>
    </w:p>
    <w:p w14:paraId="7B4E7B0D" w14:textId="24E1C7C7" w:rsidR="00B403F8" w:rsidRDefault="00B403F8" w:rsidP="00615E4C">
      <w:pPr>
        <w:pStyle w:val="Heading2"/>
      </w:pPr>
      <w:bookmarkStart w:id="9" w:name="_Toc157060188"/>
      <w:r>
        <w:t>Whooping Crane (WC) Habitat and Use</w:t>
      </w:r>
      <w:bookmarkEnd w:id="9"/>
    </w:p>
    <w:p w14:paraId="060A7947" w14:textId="12B6FA39" w:rsidR="0058537B" w:rsidRDefault="003A1C3C" w:rsidP="00DF0BB4">
      <w:pPr>
        <w:rPr>
          <w:rFonts w:asciiTheme="minorHAnsi" w:hAnsiTheme="minorHAnsi" w:cstheme="minorHAnsi"/>
        </w:rPr>
      </w:pPr>
      <w:r w:rsidRPr="005125EF">
        <w:rPr>
          <w:noProof/>
        </w:rPr>
        <w:drawing>
          <wp:anchor distT="0" distB="0" distL="114300" distR="114300" simplePos="0" relativeHeight="251720704" behindDoc="1" locked="0" layoutInCell="1" allowOverlap="1" wp14:anchorId="2D730567" wp14:editId="681AAF84">
            <wp:simplePos x="0" y="0"/>
            <wp:positionH relativeFrom="column">
              <wp:posOffset>53340</wp:posOffset>
            </wp:positionH>
            <wp:positionV relativeFrom="paragraph">
              <wp:posOffset>134620</wp:posOffset>
            </wp:positionV>
            <wp:extent cx="3482340" cy="3423285"/>
            <wp:effectExtent l="0" t="0" r="3810" b="5715"/>
            <wp:wrapTight wrapText="bothSides">
              <wp:wrapPolygon edited="0">
                <wp:start x="0" y="0"/>
                <wp:lineTo x="0" y="21516"/>
                <wp:lineTo x="21505" y="21516"/>
                <wp:lineTo x="21505" y="0"/>
                <wp:lineTo x="0" y="0"/>
              </wp:wrapPolygon>
            </wp:wrapTight>
            <wp:docPr id="1530954971" name="Picture 1" descr="A graph of growth and growth of a number of ye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54971" name="Picture 1" descr="A graph of growth and growth of a number of years&#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3482340" cy="3423285"/>
                    </a:xfrm>
                    <a:prstGeom prst="rect">
                      <a:avLst/>
                    </a:prstGeom>
                  </pic:spPr>
                </pic:pic>
              </a:graphicData>
            </a:graphic>
            <wp14:sizeRelH relativeFrom="margin">
              <wp14:pctWidth>0</wp14:pctWidth>
            </wp14:sizeRelH>
            <wp14:sizeRelV relativeFrom="margin">
              <wp14:pctHeight>0</wp14:pctHeight>
            </wp14:sizeRelV>
          </wp:anchor>
        </w:drawing>
      </w:r>
      <w:r w:rsidR="005125EF" w:rsidRPr="005125EF">
        <w:rPr>
          <w:rFonts w:asciiTheme="minorHAnsi" w:hAnsiTheme="minorHAnsi" w:cstheme="minorHAnsi"/>
          <w:noProof/>
        </w:rPr>
        <mc:AlternateContent>
          <mc:Choice Requires="wps">
            <w:drawing>
              <wp:anchor distT="45720" distB="45720" distL="114300" distR="114300" simplePos="0" relativeHeight="251722752" behindDoc="0" locked="0" layoutInCell="1" allowOverlap="1" wp14:anchorId="6D709612" wp14:editId="522A1DA5">
                <wp:simplePos x="0" y="0"/>
                <wp:positionH relativeFrom="column">
                  <wp:posOffset>53340</wp:posOffset>
                </wp:positionH>
                <wp:positionV relativeFrom="paragraph">
                  <wp:posOffset>3556000</wp:posOffset>
                </wp:positionV>
                <wp:extent cx="3482340" cy="1404620"/>
                <wp:effectExtent l="0" t="0" r="22860" b="15240"/>
                <wp:wrapSquare wrapText="bothSides"/>
                <wp:docPr id="1727165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2340" cy="1404620"/>
                        </a:xfrm>
                        <a:prstGeom prst="rect">
                          <a:avLst/>
                        </a:prstGeom>
                        <a:solidFill>
                          <a:srgbClr val="FFFFFF"/>
                        </a:solidFill>
                        <a:ln w="9525">
                          <a:solidFill>
                            <a:srgbClr val="000000"/>
                          </a:solidFill>
                          <a:miter lim="800000"/>
                          <a:headEnd/>
                          <a:tailEnd/>
                        </a:ln>
                      </wps:spPr>
                      <wps:txbx>
                        <w:txbxContent>
                          <w:p w14:paraId="62786717" w14:textId="0366E6A1" w:rsidR="005125EF" w:rsidRDefault="005125EF">
                            <w:r w:rsidRPr="005125EF">
                              <w:rPr>
                                <w:rFonts w:asciiTheme="minorHAnsi" w:hAnsiTheme="minorHAnsi" w:cstheme="minorHAnsi"/>
                                <w:b/>
                                <w:bCs/>
                                <w:sz w:val="18"/>
                                <w:szCs w:val="18"/>
                              </w:rPr>
                              <w:t xml:space="preserve">Figure </w:t>
                            </w:r>
                            <w:r w:rsidR="00032AFE">
                              <w:rPr>
                                <w:rFonts w:asciiTheme="minorHAnsi" w:hAnsiTheme="minorHAnsi" w:cstheme="minorHAnsi"/>
                                <w:b/>
                                <w:bCs/>
                                <w:sz w:val="18"/>
                                <w:szCs w:val="18"/>
                              </w:rPr>
                              <w:t>3</w:t>
                            </w:r>
                            <w:r w:rsidRPr="005125EF">
                              <w:rPr>
                                <w:rFonts w:asciiTheme="minorHAnsi" w:hAnsiTheme="minorHAnsi" w:cstheme="minorHAnsi"/>
                                <w:b/>
                                <w:bCs/>
                                <w:sz w:val="18"/>
                                <w:szCs w:val="18"/>
                              </w:rPr>
                              <w:t>(a &amp; b).</w:t>
                            </w:r>
                            <w:r w:rsidRPr="00D55D91">
                              <w:rPr>
                                <w:rFonts w:asciiTheme="minorHAnsi" w:hAnsiTheme="minorHAnsi" w:cstheme="minorHAnsi"/>
                                <w:sz w:val="18"/>
                                <w:szCs w:val="18"/>
                              </w:rPr>
                              <w:t xml:space="preserve"> Annual variability in the proportion of the Aransas-Wood Buffalo (AWB) migratory whooping crane population that stopped on the A</w:t>
                            </w:r>
                            <w:r w:rsidR="003A1C3C">
                              <w:rPr>
                                <w:rFonts w:asciiTheme="minorHAnsi" w:hAnsiTheme="minorHAnsi" w:cstheme="minorHAnsi"/>
                                <w:sz w:val="18"/>
                                <w:szCs w:val="18"/>
                              </w:rPr>
                              <w:t xml:space="preserve">HR </w:t>
                            </w:r>
                            <w:r w:rsidRPr="00D55D91">
                              <w:rPr>
                                <w:rFonts w:asciiTheme="minorHAnsi" w:hAnsiTheme="minorHAnsi" w:cstheme="minorHAnsi"/>
                                <w:sz w:val="18"/>
                                <w:szCs w:val="18"/>
                              </w:rPr>
                              <w:t>and the associated number of crane use days between 2007 and 2023 during the spring migration (a) and fall migration (b). Counts are adjusted to provide the proportion of the population and number of crane use days calculated only for dates constrained by the 5</w:t>
                            </w:r>
                            <w:r w:rsidRPr="00D55D91">
                              <w:rPr>
                                <w:rFonts w:asciiTheme="minorHAnsi" w:hAnsiTheme="minorHAnsi" w:cstheme="minorHAnsi"/>
                                <w:sz w:val="18"/>
                                <w:szCs w:val="18"/>
                                <w:vertAlign w:val="superscript"/>
                              </w:rPr>
                              <w:t>th</w:t>
                            </w:r>
                            <w:r w:rsidRPr="00D55D91">
                              <w:rPr>
                                <w:rFonts w:asciiTheme="minorHAnsi" w:hAnsiTheme="minorHAnsi" w:cstheme="minorHAnsi"/>
                                <w:sz w:val="18"/>
                                <w:szCs w:val="18"/>
                              </w:rPr>
                              <w:t xml:space="preserve"> and 95</w:t>
                            </w:r>
                            <w:r w:rsidRPr="00D55D91">
                              <w:rPr>
                                <w:rFonts w:asciiTheme="minorHAnsi" w:hAnsiTheme="minorHAnsi" w:cstheme="minorHAnsi"/>
                                <w:sz w:val="18"/>
                                <w:szCs w:val="18"/>
                                <w:vertAlign w:val="superscript"/>
                              </w:rPr>
                              <w:t>th</w:t>
                            </w:r>
                            <w:r w:rsidRPr="00D55D91">
                              <w:rPr>
                                <w:rFonts w:asciiTheme="minorHAnsi" w:hAnsiTheme="minorHAnsi" w:cstheme="minorHAnsi"/>
                                <w:sz w:val="18"/>
                                <w:szCs w:val="18"/>
                              </w:rPr>
                              <w:t xml:space="preserve"> percentiles of dates of spring and fall whooping crane group observations in Nebraska.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709612" id="_x0000_s1027" type="#_x0000_t202" style="position:absolute;margin-left:4.2pt;margin-top:280pt;width:274.2pt;height:110.6pt;z-index:251722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">
                <v:textbox style="mso-fit-shape-to-text:t">
                  <w:txbxContent>
                    <w:p w14:paraId="62786717" w14:textId="0366E6A1" w:rsidR="005125EF" w:rsidRDefault="005125EF">
                      <w:r w:rsidRPr="005125EF">
                        <w:rPr>
                          <w:rFonts w:asciiTheme="minorHAnsi" w:hAnsiTheme="minorHAnsi" w:cstheme="minorHAnsi"/>
                          <w:b/>
                          <w:bCs/>
                          <w:sz w:val="18"/>
                          <w:szCs w:val="18"/>
                        </w:rPr>
                        <w:t xml:space="preserve">Figure </w:t>
                      </w:r>
                      <w:r w:rsidR="00032AFE">
                        <w:rPr>
                          <w:rFonts w:asciiTheme="minorHAnsi" w:hAnsiTheme="minorHAnsi" w:cstheme="minorHAnsi"/>
                          <w:b/>
                          <w:bCs/>
                          <w:sz w:val="18"/>
                          <w:szCs w:val="18"/>
                        </w:rPr>
                        <w:t>3</w:t>
                      </w:r>
                      <w:r w:rsidRPr="005125EF">
                        <w:rPr>
                          <w:rFonts w:asciiTheme="minorHAnsi" w:hAnsiTheme="minorHAnsi" w:cstheme="minorHAnsi"/>
                          <w:b/>
                          <w:bCs/>
                          <w:sz w:val="18"/>
                          <w:szCs w:val="18"/>
                        </w:rPr>
                        <w:t>(a &amp; b).</w:t>
                      </w:r>
                      <w:r w:rsidRPr="00D55D91">
                        <w:rPr>
                          <w:rFonts w:asciiTheme="minorHAnsi" w:hAnsiTheme="minorHAnsi" w:cstheme="minorHAnsi"/>
                          <w:sz w:val="18"/>
                          <w:szCs w:val="18"/>
                        </w:rPr>
                        <w:t xml:space="preserve"> Annual variability in the proportion of the Aransas-Wood Buffalo (AWB) migratory whooping crane population that stopped on the A</w:t>
                      </w:r>
                      <w:r w:rsidR="003A1C3C">
                        <w:rPr>
                          <w:rFonts w:asciiTheme="minorHAnsi" w:hAnsiTheme="minorHAnsi" w:cstheme="minorHAnsi"/>
                          <w:sz w:val="18"/>
                          <w:szCs w:val="18"/>
                        </w:rPr>
                        <w:t xml:space="preserve">HR </w:t>
                      </w:r>
                      <w:r w:rsidRPr="00D55D91">
                        <w:rPr>
                          <w:rFonts w:asciiTheme="minorHAnsi" w:hAnsiTheme="minorHAnsi" w:cstheme="minorHAnsi"/>
                          <w:sz w:val="18"/>
                          <w:szCs w:val="18"/>
                        </w:rPr>
                        <w:t>and the associated number of crane use days between 2007 and 2023 during the spring migration (a) and fall migration (b). Counts are adjusted to provide the proportion of the population and number of crane use days calculated only for dates constrained by the 5</w:t>
                      </w:r>
                      <w:r w:rsidRPr="00D55D91">
                        <w:rPr>
                          <w:rFonts w:asciiTheme="minorHAnsi" w:hAnsiTheme="minorHAnsi" w:cstheme="minorHAnsi"/>
                          <w:sz w:val="18"/>
                          <w:szCs w:val="18"/>
                          <w:vertAlign w:val="superscript"/>
                        </w:rPr>
                        <w:t>th</w:t>
                      </w:r>
                      <w:r w:rsidRPr="00D55D91">
                        <w:rPr>
                          <w:rFonts w:asciiTheme="minorHAnsi" w:hAnsiTheme="minorHAnsi" w:cstheme="minorHAnsi"/>
                          <w:sz w:val="18"/>
                          <w:szCs w:val="18"/>
                        </w:rPr>
                        <w:t xml:space="preserve"> and 95</w:t>
                      </w:r>
                      <w:r w:rsidRPr="00D55D91">
                        <w:rPr>
                          <w:rFonts w:asciiTheme="minorHAnsi" w:hAnsiTheme="minorHAnsi" w:cstheme="minorHAnsi"/>
                          <w:sz w:val="18"/>
                          <w:szCs w:val="18"/>
                          <w:vertAlign w:val="superscript"/>
                        </w:rPr>
                        <w:t>th</w:t>
                      </w:r>
                      <w:r w:rsidRPr="00D55D91">
                        <w:rPr>
                          <w:rFonts w:asciiTheme="minorHAnsi" w:hAnsiTheme="minorHAnsi" w:cstheme="minorHAnsi"/>
                          <w:sz w:val="18"/>
                          <w:szCs w:val="18"/>
                        </w:rPr>
                        <w:t xml:space="preserve"> percentiles of dates of spring and fall whooping crane group observations in Nebraska.</w:t>
                      </w:r>
                    </w:p>
                  </w:txbxContent>
                </v:textbox>
                <w10:wrap type="square"/>
              </v:shape>
            </w:pict>
          </mc:Fallback>
        </mc:AlternateContent>
      </w:r>
      <w:r w:rsidR="0058537B" w:rsidRPr="00182579">
        <w:rPr>
          <w:rFonts w:asciiTheme="minorHAnsi" w:hAnsiTheme="minorHAnsi" w:cstheme="minorHAnsi"/>
        </w:rPr>
        <w:t xml:space="preserve">The Program’s </w:t>
      </w:r>
      <w:r w:rsidR="005C10B3">
        <w:rPr>
          <w:rFonts w:asciiTheme="minorHAnsi" w:hAnsiTheme="minorHAnsi" w:cstheme="minorHAnsi"/>
        </w:rPr>
        <w:t xml:space="preserve">whooping crane (WC) </w:t>
      </w:r>
      <w:r w:rsidR="0058537B" w:rsidRPr="00182579">
        <w:rPr>
          <w:rFonts w:asciiTheme="minorHAnsi" w:hAnsiTheme="minorHAnsi" w:cstheme="minorHAnsi"/>
        </w:rPr>
        <w:t>management objective</w:t>
      </w:r>
      <w:r w:rsidR="005C10B3">
        <w:rPr>
          <w:rFonts w:asciiTheme="minorHAnsi" w:hAnsiTheme="minorHAnsi" w:cstheme="minorHAnsi"/>
        </w:rPr>
        <w:t xml:space="preserve"> </w:t>
      </w:r>
      <w:r w:rsidR="0058537B" w:rsidRPr="00182579">
        <w:rPr>
          <w:rFonts w:asciiTheme="minorHAnsi" w:hAnsiTheme="minorHAnsi" w:cstheme="minorHAnsi"/>
        </w:rPr>
        <w:t>is to contribute to their survival during migratio</w:t>
      </w:r>
      <w:r w:rsidR="0058537B">
        <w:rPr>
          <w:rFonts w:asciiTheme="minorHAnsi" w:hAnsiTheme="minorHAnsi" w:cstheme="minorHAnsi"/>
        </w:rPr>
        <w:t>n</w:t>
      </w:r>
      <w:r w:rsidR="00244B8F">
        <w:rPr>
          <w:rFonts w:asciiTheme="minorHAnsi" w:hAnsiTheme="minorHAnsi" w:cstheme="minorHAnsi"/>
          <w:i/>
          <w:iCs/>
        </w:rPr>
        <w:t xml:space="preserve">. </w:t>
      </w:r>
      <w:r w:rsidR="0058537B" w:rsidRPr="00182579">
        <w:rPr>
          <w:rFonts w:asciiTheme="minorHAnsi" w:hAnsiTheme="minorHAnsi" w:cstheme="minorHAnsi"/>
        </w:rPr>
        <w:t xml:space="preserve">Quantifiable metrics to help evaluate the success of this objective include the: (1) availability and area of suitable roosting and foraging habitat; (2) number of days </w:t>
      </w:r>
      <w:r w:rsidR="0058537B">
        <w:rPr>
          <w:rFonts w:asciiTheme="minorHAnsi" w:hAnsiTheme="minorHAnsi" w:cstheme="minorHAnsi"/>
        </w:rPr>
        <w:t>WC</w:t>
      </w:r>
      <w:r w:rsidR="0058537B" w:rsidRPr="00182579">
        <w:rPr>
          <w:rFonts w:asciiTheme="minorHAnsi" w:hAnsiTheme="minorHAnsi" w:cstheme="minorHAnsi"/>
        </w:rPr>
        <w:t xml:space="preserve"> were observed along the A</w:t>
      </w:r>
      <w:r w:rsidR="0058537B">
        <w:rPr>
          <w:rFonts w:asciiTheme="minorHAnsi" w:hAnsiTheme="minorHAnsi" w:cstheme="minorHAnsi"/>
        </w:rPr>
        <w:t xml:space="preserve">ssociated </w:t>
      </w:r>
      <w:r w:rsidR="0058537B" w:rsidRPr="00182579">
        <w:rPr>
          <w:rFonts w:asciiTheme="minorHAnsi" w:hAnsiTheme="minorHAnsi" w:cstheme="minorHAnsi"/>
        </w:rPr>
        <w:t>H</w:t>
      </w:r>
      <w:r w:rsidR="0058537B">
        <w:rPr>
          <w:rFonts w:asciiTheme="minorHAnsi" w:hAnsiTheme="minorHAnsi" w:cstheme="minorHAnsi"/>
        </w:rPr>
        <w:t xml:space="preserve">abitat </w:t>
      </w:r>
      <w:r w:rsidR="0058537B" w:rsidRPr="00182579">
        <w:rPr>
          <w:rFonts w:asciiTheme="minorHAnsi" w:hAnsiTheme="minorHAnsi" w:cstheme="minorHAnsi"/>
        </w:rPr>
        <w:t>R</w:t>
      </w:r>
      <w:r w:rsidR="0058537B">
        <w:rPr>
          <w:rFonts w:asciiTheme="minorHAnsi" w:hAnsiTheme="minorHAnsi" w:cstheme="minorHAnsi"/>
        </w:rPr>
        <w:t>each</w:t>
      </w:r>
      <w:r w:rsidR="00B91D76">
        <w:rPr>
          <w:rFonts w:asciiTheme="minorHAnsi" w:hAnsiTheme="minorHAnsi" w:cstheme="minorHAnsi"/>
        </w:rPr>
        <w:t xml:space="preserve"> (AHR)</w:t>
      </w:r>
      <w:r w:rsidR="0058537B">
        <w:rPr>
          <w:rFonts w:asciiTheme="minorHAnsi" w:hAnsiTheme="minorHAnsi" w:cstheme="minorHAnsi"/>
        </w:rPr>
        <w:t xml:space="preserve"> during their migration</w:t>
      </w:r>
      <w:r w:rsidR="0058537B" w:rsidRPr="00182579">
        <w:rPr>
          <w:rFonts w:asciiTheme="minorHAnsi" w:hAnsiTheme="minorHAnsi" w:cstheme="minorHAnsi"/>
        </w:rPr>
        <w:t xml:space="preserve"> (i.e., crane use days); and (3) proportion of the Aransas</w:t>
      </w:r>
      <w:r w:rsidR="0058537B">
        <w:rPr>
          <w:rFonts w:asciiTheme="minorHAnsi" w:hAnsiTheme="minorHAnsi" w:cstheme="minorHAnsi"/>
        </w:rPr>
        <w:t>-</w:t>
      </w:r>
      <w:r w:rsidR="0058537B" w:rsidRPr="00182579">
        <w:rPr>
          <w:rFonts w:asciiTheme="minorHAnsi" w:hAnsiTheme="minorHAnsi" w:cstheme="minorHAnsi"/>
        </w:rPr>
        <w:t>Wood Buffalo (AWB) population that stops along the A</w:t>
      </w:r>
      <w:r w:rsidR="00B91D76">
        <w:rPr>
          <w:rFonts w:asciiTheme="minorHAnsi" w:hAnsiTheme="minorHAnsi" w:cstheme="minorHAnsi"/>
        </w:rPr>
        <w:t xml:space="preserve">HR </w:t>
      </w:r>
      <w:r w:rsidR="0058537B" w:rsidRPr="00182579">
        <w:rPr>
          <w:rFonts w:asciiTheme="minorHAnsi" w:hAnsiTheme="minorHAnsi" w:cstheme="minorHAnsi"/>
        </w:rPr>
        <w:t>during spring and fall migration</w:t>
      </w:r>
      <w:r w:rsidR="0058537B">
        <w:rPr>
          <w:rFonts w:asciiTheme="minorHAnsi" w:hAnsiTheme="minorHAnsi" w:cstheme="minorHAnsi"/>
        </w:rPr>
        <w:t>s</w:t>
      </w:r>
      <w:r w:rsidR="00244B8F" w:rsidRPr="00182579">
        <w:rPr>
          <w:rFonts w:asciiTheme="minorHAnsi" w:hAnsiTheme="minorHAnsi" w:cstheme="minorHAnsi"/>
        </w:rPr>
        <w:t xml:space="preserve">. </w:t>
      </w:r>
      <w:r w:rsidR="0058537B" w:rsidRPr="00182579">
        <w:rPr>
          <w:rFonts w:asciiTheme="minorHAnsi" w:hAnsiTheme="minorHAnsi" w:cstheme="minorHAnsi"/>
        </w:rPr>
        <w:t xml:space="preserve">Over the duration of the Program, the migratory AWB </w:t>
      </w:r>
      <w:r w:rsidR="0058537B">
        <w:rPr>
          <w:rFonts w:asciiTheme="minorHAnsi" w:hAnsiTheme="minorHAnsi" w:cstheme="minorHAnsi"/>
        </w:rPr>
        <w:t>WC</w:t>
      </w:r>
      <w:r w:rsidR="0058537B" w:rsidRPr="00182579">
        <w:rPr>
          <w:rFonts w:asciiTheme="minorHAnsi" w:hAnsiTheme="minorHAnsi" w:cstheme="minorHAnsi"/>
        </w:rPr>
        <w:t xml:space="preserve"> population increased from an estimated 237 birds in 2006–2007 to 536 birds in 2022–2023 based on surveys along the Texas coast of the Gulf of Mexico, USA wintering range</w:t>
      </w:r>
      <w:r w:rsidR="00244B8F" w:rsidRPr="00182579">
        <w:rPr>
          <w:rFonts w:asciiTheme="minorHAnsi" w:hAnsiTheme="minorHAnsi" w:cstheme="minorHAnsi"/>
        </w:rPr>
        <w:t xml:space="preserve">. </w:t>
      </w:r>
      <w:r w:rsidR="0058537B" w:rsidRPr="00182579">
        <w:rPr>
          <w:rFonts w:asciiTheme="minorHAnsi" w:hAnsiTheme="minorHAnsi" w:cstheme="minorHAnsi"/>
        </w:rPr>
        <w:t>During the same period, WC spring and fall stopover metrics on the A</w:t>
      </w:r>
      <w:r w:rsidR="00B91D76">
        <w:rPr>
          <w:rFonts w:asciiTheme="minorHAnsi" w:hAnsiTheme="minorHAnsi" w:cstheme="minorHAnsi"/>
        </w:rPr>
        <w:t xml:space="preserve">HR </w:t>
      </w:r>
      <w:r w:rsidR="0058537B" w:rsidRPr="00182579">
        <w:rPr>
          <w:rFonts w:asciiTheme="minorHAnsi" w:hAnsiTheme="minorHAnsi" w:cstheme="minorHAnsi"/>
        </w:rPr>
        <w:t xml:space="preserve">as determined through PRRIP’s </w:t>
      </w:r>
      <w:r w:rsidR="00E86AEE">
        <w:rPr>
          <w:rFonts w:asciiTheme="minorHAnsi" w:hAnsiTheme="minorHAnsi" w:cstheme="minorHAnsi"/>
        </w:rPr>
        <w:t xml:space="preserve">systematic </w:t>
      </w:r>
      <w:r w:rsidR="0058537B" w:rsidRPr="00182579">
        <w:rPr>
          <w:rFonts w:asciiTheme="minorHAnsi" w:hAnsiTheme="minorHAnsi" w:cstheme="minorHAnsi"/>
        </w:rPr>
        <w:t>surveys demonstrated considerable annual variability</w:t>
      </w:r>
      <w:r w:rsidR="00F7169E">
        <w:rPr>
          <w:rFonts w:asciiTheme="minorHAnsi" w:hAnsiTheme="minorHAnsi" w:cstheme="minorHAnsi"/>
        </w:rPr>
        <w:t>.</w:t>
      </w:r>
    </w:p>
    <w:p w14:paraId="5ADB4BE5" w14:textId="77777777" w:rsidR="0058537B" w:rsidRPr="00AE67C1" w:rsidRDefault="0058537B" w:rsidP="00DF0BB4">
      <w:pPr>
        <w:rPr>
          <w:rFonts w:asciiTheme="minorHAnsi" w:hAnsiTheme="minorHAnsi" w:cstheme="minorHAnsi"/>
        </w:rPr>
      </w:pPr>
    </w:p>
    <w:p w14:paraId="29FB6563" w14:textId="10F0D751" w:rsidR="0058537B" w:rsidRPr="00EA2157" w:rsidRDefault="0058537B" w:rsidP="00DF0BB4">
      <w:pPr>
        <w:pStyle w:val="NoSpacing"/>
        <w:rPr>
          <w:rFonts w:asciiTheme="minorHAnsi" w:hAnsiTheme="minorHAnsi" w:cstheme="minorHAnsi"/>
        </w:rPr>
      </w:pPr>
      <w:r w:rsidRPr="00C55E70">
        <w:rPr>
          <w:rFonts w:asciiTheme="minorHAnsi" w:hAnsiTheme="minorHAnsi" w:cstheme="minorHAnsi"/>
        </w:rPr>
        <w:t>During spring, the number of WC and proportion of population stopping on the A</w:t>
      </w:r>
      <w:r w:rsidR="00A06137">
        <w:rPr>
          <w:rFonts w:asciiTheme="minorHAnsi" w:hAnsiTheme="minorHAnsi" w:cstheme="minorHAnsi"/>
        </w:rPr>
        <w:t>HR</w:t>
      </w:r>
      <w:r w:rsidRPr="00C55E70">
        <w:rPr>
          <w:rFonts w:asciiTheme="minorHAnsi" w:hAnsiTheme="minorHAnsi" w:cstheme="minorHAnsi"/>
        </w:rPr>
        <w:t xml:space="preserve">, and </w:t>
      </w:r>
      <w:r w:rsidR="00D33DE3">
        <w:rPr>
          <w:rFonts w:asciiTheme="minorHAnsi" w:hAnsiTheme="minorHAnsi" w:cstheme="minorHAnsi"/>
        </w:rPr>
        <w:t xml:space="preserve">the </w:t>
      </w:r>
      <w:r w:rsidRPr="00C55E70">
        <w:rPr>
          <w:rFonts w:asciiTheme="minorHAnsi" w:hAnsiTheme="minorHAnsi" w:cstheme="minorHAnsi"/>
        </w:rPr>
        <w:t>number of crane use days increased over the past two years from recent observed lows during spring of 2019 through 2021 (</w:t>
      </w:r>
      <w:r w:rsidRPr="00D33DE3">
        <w:rPr>
          <w:rFonts w:asciiTheme="minorHAnsi" w:hAnsiTheme="minorHAnsi" w:cstheme="minorHAnsi"/>
          <w:b/>
          <w:bCs/>
        </w:rPr>
        <w:t xml:space="preserve">Figure </w:t>
      </w:r>
      <w:r w:rsidR="00032AFE">
        <w:rPr>
          <w:rFonts w:asciiTheme="minorHAnsi" w:hAnsiTheme="minorHAnsi" w:cstheme="minorHAnsi"/>
          <w:b/>
          <w:bCs/>
        </w:rPr>
        <w:t>3</w:t>
      </w:r>
      <w:r w:rsidRPr="00D33DE3">
        <w:rPr>
          <w:rFonts w:asciiTheme="minorHAnsi" w:hAnsiTheme="minorHAnsi" w:cstheme="minorHAnsi"/>
          <w:b/>
          <w:bCs/>
        </w:rPr>
        <w:t>a</w:t>
      </w:r>
      <w:r w:rsidRPr="00C55E70">
        <w:rPr>
          <w:rFonts w:asciiTheme="minorHAnsi" w:hAnsiTheme="minorHAnsi" w:cstheme="minorHAnsi"/>
        </w:rPr>
        <w:t>)</w:t>
      </w:r>
      <w:r w:rsidR="00244B8F" w:rsidRPr="00C55E70">
        <w:rPr>
          <w:rFonts w:asciiTheme="minorHAnsi" w:hAnsiTheme="minorHAnsi" w:cstheme="minorHAnsi"/>
        </w:rPr>
        <w:t xml:space="preserve">. </w:t>
      </w:r>
      <w:r w:rsidRPr="00C55E70">
        <w:rPr>
          <w:rFonts w:asciiTheme="minorHAnsi" w:hAnsiTheme="minorHAnsi" w:cstheme="minorHAnsi"/>
        </w:rPr>
        <w:t>However, spring 2023 values remained within the ranges of annual variability of the metrics since 2007</w:t>
      </w:r>
      <w:r w:rsidR="00244B8F" w:rsidRPr="00C55E70">
        <w:rPr>
          <w:rFonts w:asciiTheme="minorHAnsi" w:hAnsiTheme="minorHAnsi" w:cstheme="minorHAnsi"/>
        </w:rPr>
        <w:t xml:space="preserve">. </w:t>
      </w:r>
      <w:r w:rsidRPr="00C55E70">
        <w:rPr>
          <w:rFonts w:asciiTheme="minorHAnsi" w:hAnsiTheme="minorHAnsi" w:cstheme="minorHAnsi"/>
        </w:rPr>
        <w:t>The Program documented years of peak spring WC use of the A</w:t>
      </w:r>
      <w:r w:rsidR="00D33DE3">
        <w:rPr>
          <w:rFonts w:asciiTheme="minorHAnsi" w:hAnsiTheme="minorHAnsi" w:cstheme="minorHAnsi"/>
        </w:rPr>
        <w:t xml:space="preserve">HR </w:t>
      </w:r>
      <w:r w:rsidRPr="00C55E70">
        <w:rPr>
          <w:rFonts w:asciiTheme="minorHAnsi" w:hAnsiTheme="minorHAnsi" w:cstheme="minorHAnsi"/>
        </w:rPr>
        <w:t>such as that which occurred during spring 2018 as well as years of low use before and after that peak</w:t>
      </w:r>
      <w:r w:rsidR="00244B8F" w:rsidRPr="00C55E70">
        <w:rPr>
          <w:rFonts w:asciiTheme="minorHAnsi" w:hAnsiTheme="minorHAnsi" w:cstheme="minorHAnsi"/>
        </w:rPr>
        <w:t xml:space="preserve">. </w:t>
      </w:r>
      <w:r w:rsidRPr="00C55E70">
        <w:rPr>
          <w:rFonts w:asciiTheme="minorHAnsi" w:hAnsiTheme="minorHAnsi" w:cstheme="minorHAnsi"/>
        </w:rPr>
        <w:t>The high amount of variability in WC stopover metrics over time makes it challenging to quantify whether significant changes in these metrics have occurred</w:t>
      </w:r>
      <w:r w:rsidR="00244B8F" w:rsidRPr="00C55E70">
        <w:rPr>
          <w:rFonts w:asciiTheme="minorHAnsi" w:hAnsiTheme="minorHAnsi" w:cstheme="minorHAnsi"/>
        </w:rPr>
        <w:t xml:space="preserve">. </w:t>
      </w:r>
      <w:r w:rsidRPr="00C55E70">
        <w:rPr>
          <w:rFonts w:asciiTheme="minorHAnsi" w:hAnsiTheme="minorHAnsi" w:cstheme="minorHAnsi"/>
        </w:rPr>
        <w:t>There was no relationship between the proportion of the AWB population stopping over on the A</w:t>
      </w:r>
      <w:r w:rsidR="00F7169E">
        <w:rPr>
          <w:rFonts w:asciiTheme="minorHAnsi" w:hAnsiTheme="minorHAnsi" w:cstheme="minorHAnsi"/>
        </w:rPr>
        <w:t xml:space="preserve">HR </w:t>
      </w:r>
      <w:r w:rsidR="00B672A9">
        <w:rPr>
          <w:rFonts w:asciiTheme="minorHAnsi" w:hAnsiTheme="minorHAnsi" w:cstheme="minorHAnsi"/>
        </w:rPr>
        <w:t>or the number of crane use days and</w:t>
      </w:r>
      <w:r w:rsidRPr="00C55E70">
        <w:rPr>
          <w:rFonts w:asciiTheme="minorHAnsi" w:hAnsiTheme="minorHAnsi" w:cstheme="minorHAnsi"/>
        </w:rPr>
        <w:t xml:space="preserve"> year</w:t>
      </w:r>
      <w:r w:rsidR="00B672A9">
        <w:rPr>
          <w:rFonts w:asciiTheme="minorHAnsi" w:hAnsiTheme="minorHAnsi" w:cstheme="minorHAnsi"/>
        </w:rPr>
        <w:t xml:space="preserve"> </w:t>
      </w:r>
      <w:r w:rsidRPr="00EA2157">
        <w:rPr>
          <w:rFonts w:asciiTheme="minorHAnsi" w:hAnsiTheme="minorHAnsi" w:cstheme="minorHAnsi"/>
        </w:rPr>
        <w:t>through spring 2023</w:t>
      </w:r>
      <w:r w:rsidR="007A2A95" w:rsidRPr="00EA2157">
        <w:rPr>
          <w:rFonts w:asciiTheme="minorHAnsi" w:hAnsiTheme="minorHAnsi" w:cstheme="minorHAnsi"/>
        </w:rPr>
        <w:t xml:space="preserve">. </w:t>
      </w:r>
    </w:p>
    <w:p w14:paraId="2C6D4E99" w14:textId="77777777" w:rsidR="0058537B" w:rsidRPr="00EA2157" w:rsidRDefault="0058537B" w:rsidP="00DF0BB4">
      <w:pPr>
        <w:pStyle w:val="NoSpacing"/>
        <w:rPr>
          <w:rFonts w:asciiTheme="minorHAnsi" w:hAnsiTheme="minorHAnsi" w:cstheme="minorHAnsi"/>
        </w:rPr>
      </w:pPr>
    </w:p>
    <w:p w14:paraId="7D00D9D0" w14:textId="24261E24" w:rsidR="000C36A5" w:rsidRPr="005125EF" w:rsidRDefault="001909F0" w:rsidP="005125EF">
      <w:pPr>
        <w:pStyle w:val="NoSpacing"/>
        <w:rPr>
          <w:rFonts w:asciiTheme="minorHAnsi" w:hAnsiTheme="minorHAnsi" w:cstheme="minorHAnsi"/>
        </w:rPr>
      </w:pPr>
      <w:r>
        <w:rPr>
          <w:rFonts w:asciiTheme="minorHAnsi" w:hAnsiTheme="minorHAnsi" w:cstheme="minorHAnsi"/>
        </w:rPr>
        <w:t>F</w:t>
      </w:r>
      <w:r w:rsidR="0058537B" w:rsidRPr="003A7A28">
        <w:rPr>
          <w:rFonts w:asciiTheme="minorHAnsi" w:hAnsiTheme="minorHAnsi" w:cstheme="minorHAnsi"/>
        </w:rPr>
        <w:t>all WC stopover metrics</w:t>
      </w:r>
      <w:r>
        <w:rPr>
          <w:rFonts w:asciiTheme="minorHAnsi" w:hAnsiTheme="minorHAnsi" w:cstheme="minorHAnsi"/>
        </w:rPr>
        <w:t xml:space="preserve"> </w:t>
      </w:r>
      <w:r w:rsidR="0058537B" w:rsidRPr="003A7A28">
        <w:rPr>
          <w:rFonts w:asciiTheme="minorHAnsi" w:hAnsiTheme="minorHAnsi" w:cstheme="minorHAnsi"/>
        </w:rPr>
        <w:t>demonstrated considerable annual variability</w:t>
      </w:r>
      <w:r w:rsidR="00244B8F" w:rsidRPr="003A7A28">
        <w:rPr>
          <w:rFonts w:asciiTheme="minorHAnsi" w:hAnsiTheme="minorHAnsi" w:cstheme="minorHAnsi"/>
        </w:rPr>
        <w:t xml:space="preserve">. </w:t>
      </w:r>
      <w:r w:rsidR="0058537B" w:rsidRPr="003A7A28">
        <w:rPr>
          <w:rFonts w:asciiTheme="minorHAnsi" w:hAnsiTheme="minorHAnsi" w:cstheme="minorHAnsi"/>
        </w:rPr>
        <w:t>During three of the past five years, the Program observed the highest proportions of the population stopping on the AHR during fall since 2007 (</w:t>
      </w:r>
      <w:r w:rsidR="0058537B" w:rsidRPr="00D63BD7">
        <w:rPr>
          <w:rFonts w:asciiTheme="minorHAnsi" w:hAnsiTheme="minorHAnsi" w:cstheme="minorHAnsi"/>
          <w:b/>
          <w:bCs/>
        </w:rPr>
        <w:t xml:space="preserve">Figure </w:t>
      </w:r>
      <w:r w:rsidR="00032AFE">
        <w:rPr>
          <w:rFonts w:asciiTheme="minorHAnsi" w:hAnsiTheme="minorHAnsi" w:cstheme="minorHAnsi"/>
          <w:b/>
          <w:bCs/>
        </w:rPr>
        <w:t>3</w:t>
      </w:r>
      <w:r w:rsidR="0058537B" w:rsidRPr="00D63BD7">
        <w:rPr>
          <w:rFonts w:asciiTheme="minorHAnsi" w:hAnsiTheme="minorHAnsi" w:cstheme="minorHAnsi"/>
          <w:b/>
          <w:bCs/>
        </w:rPr>
        <w:t>b</w:t>
      </w:r>
      <w:r w:rsidR="0058537B" w:rsidRPr="003A7A28">
        <w:rPr>
          <w:rFonts w:asciiTheme="minorHAnsi" w:hAnsiTheme="minorHAnsi" w:cstheme="minorHAnsi"/>
        </w:rPr>
        <w:t>)</w:t>
      </w:r>
      <w:r w:rsidR="00244B8F" w:rsidRPr="003A7A28">
        <w:rPr>
          <w:rFonts w:asciiTheme="minorHAnsi" w:hAnsiTheme="minorHAnsi" w:cstheme="minorHAnsi"/>
        </w:rPr>
        <w:t xml:space="preserve">. </w:t>
      </w:r>
      <w:r w:rsidR="0058537B" w:rsidRPr="003A7A28">
        <w:rPr>
          <w:rFonts w:asciiTheme="minorHAnsi" w:hAnsiTheme="minorHAnsi" w:cstheme="minorHAnsi"/>
        </w:rPr>
        <w:t>During fall of 2021 and 2023, the Program documented the highest number of crane use days since 2007</w:t>
      </w:r>
      <w:r w:rsidR="00244B8F" w:rsidRPr="003A7A28">
        <w:rPr>
          <w:rFonts w:asciiTheme="minorHAnsi" w:hAnsiTheme="minorHAnsi" w:cstheme="minorHAnsi"/>
        </w:rPr>
        <w:t xml:space="preserve">. </w:t>
      </w:r>
      <w:r w:rsidR="0058537B" w:rsidRPr="003A7A28">
        <w:rPr>
          <w:rFonts w:asciiTheme="minorHAnsi" w:hAnsiTheme="minorHAnsi" w:cstheme="minorHAnsi"/>
        </w:rPr>
        <w:t>In between these years of high use, the Program observed historical fall lows in both stopover metrics</w:t>
      </w:r>
      <w:r w:rsidR="00244B8F" w:rsidRPr="003A7A28">
        <w:rPr>
          <w:rFonts w:asciiTheme="minorHAnsi" w:hAnsiTheme="minorHAnsi" w:cstheme="minorHAnsi"/>
        </w:rPr>
        <w:t xml:space="preserve">. </w:t>
      </w:r>
      <w:r w:rsidR="0058537B" w:rsidRPr="003A7A28">
        <w:rPr>
          <w:rFonts w:asciiTheme="minorHAnsi" w:hAnsiTheme="minorHAnsi" w:cstheme="minorHAnsi"/>
        </w:rPr>
        <w:t>In part because of these recent years of high use, there was a significant, positive temporal trend in the number of fall crane use days during 2007–2023</w:t>
      </w:r>
      <w:r w:rsidR="00244B8F" w:rsidRPr="003A7A28">
        <w:rPr>
          <w:rFonts w:asciiTheme="minorHAnsi" w:hAnsiTheme="minorHAnsi" w:cstheme="minorHAnsi"/>
        </w:rPr>
        <w:t xml:space="preserve">. </w:t>
      </w:r>
      <w:r w:rsidR="0058537B" w:rsidRPr="003A7A28">
        <w:rPr>
          <w:rFonts w:asciiTheme="minorHAnsi" w:hAnsiTheme="minorHAnsi" w:cstheme="minorHAnsi"/>
        </w:rPr>
        <w:t>However, there was no relationship between the proportion of the population stopping on the A</w:t>
      </w:r>
      <w:r w:rsidR="00951B76">
        <w:rPr>
          <w:rFonts w:asciiTheme="minorHAnsi" w:hAnsiTheme="minorHAnsi" w:cstheme="minorHAnsi"/>
        </w:rPr>
        <w:t xml:space="preserve">HR </w:t>
      </w:r>
      <w:r w:rsidR="0058537B" w:rsidRPr="003A7A28">
        <w:rPr>
          <w:rFonts w:asciiTheme="minorHAnsi" w:hAnsiTheme="minorHAnsi" w:cstheme="minorHAnsi"/>
        </w:rPr>
        <w:t>during fall</w:t>
      </w:r>
      <w:r w:rsidR="00951B76">
        <w:rPr>
          <w:rFonts w:asciiTheme="minorHAnsi" w:hAnsiTheme="minorHAnsi" w:cstheme="minorHAnsi"/>
        </w:rPr>
        <w:t>.</w:t>
      </w:r>
      <w:r w:rsidR="000C36A5">
        <w:br w:type="page"/>
      </w:r>
    </w:p>
    <w:p w14:paraId="3B371158" w14:textId="5628F9B8" w:rsidR="00B403F8" w:rsidRDefault="00B403F8" w:rsidP="00615E4C">
      <w:pPr>
        <w:pStyle w:val="Heading2"/>
      </w:pPr>
      <w:bookmarkStart w:id="10" w:name="_Toc157060189"/>
      <w:r>
        <w:t>Pallid Sturgeon (PS) Habitat and Use</w:t>
      </w:r>
      <w:bookmarkEnd w:id="10"/>
    </w:p>
    <w:p w14:paraId="6895F673" w14:textId="6D281BC7" w:rsidR="00BA3B70" w:rsidRDefault="00BA3B70" w:rsidP="00D24C10">
      <w:pPr>
        <w:pStyle w:val="NoSpacing"/>
      </w:pPr>
      <w:r w:rsidRPr="00BA3B70">
        <w:rPr>
          <w:rFonts w:eastAsia="Times New Roman"/>
          <w:color w:val="000000" w:themeColor="text1"/>
        </w:rPr>
        <w:t xml:space="preserve">Ninety-four unique pallid sturgeon </w:t>
      </w:r>
      <w:r>
        <w:rPr>
          <w:rFonts w:eastAsia="Times New Roman"/>
          <w:color w:val="000000" w:themeColor="text1"/>
        </w:rPr>
        <w:t xml:space="preserve">have been </w:t>
      </w:r>
      <w:r w:rsidRPr="00BA3B70">
        <w:rPr>
          <w:rFonts w:eastAsia="Times New Roman"/>
          <w:color w:val="000000" w:themeColor="text1"/>
        </w:rPr>
        <w:t xml:space="preserve">documented in the lower Platte River system since March, 2022. </w:t>
      </w:r>
      <w:r>
        <w:rPr>
          <w:rFonts w:eastAsia="Times New Roman"/>
          <w:color w:val="000000" w:themeColor="text1"/>
        </w:rPr>
        <w:t xml:space="preserve">Pallid sturgeon </w:t>
      </w:r>
      <w:r>
        <w:t>use of the lower</w:t>
      </w:r>
      <w:r w:rsidRPr="00BA3B70">
        <w:t xml:space="preserve"> Platte </w:t>
      </w:r>
      <w:r>
        <w:t xml:space="preserve">River has been documented both above and below the </w:t>
      </w:r>
      <w:r w:rsidR="001850B1" w:rsidRPr="00BA3B70">
        <w:t>Elkhorn River</w:t>
      </w:r>
      <w:r w:rsidR="001850B1">
        <w:t xml:space="preserve"> but</w:t>
      </w:r>
      <w:r>
        <w:t xml:space="preserve"> use above the Elkhorn has been documented less frequently.</w:t>
      </w:r>
      <w:r w:rsidR="00A41A2A">
        <w:t xml:space="preserve"> </w:t>
      </w:r>
      <w:r w:rsidRPr="00BA3B70">
        <w:t xml:space="preserve">Both reproductive and non-reproductive </w:t>
      </w:r>
      <w:r>
        <w:t>pallid sturgeon</w:t>
      </w:r>
      <w:r w:rsidRPr="00BA3B70">
        <w:t xml:space="preserve"> </w:t>
      </w:r>
      <w:r>
        <w:t xml:space="preserve">utilize the </w:t>
      </w:r>
      <w:r w:rsidRPr="00BA3B70">
        <w:t xml:space="preserve">lower Platte River and its tributaries. </w:t>
      </w:r>
      <w:r w:rsidR="00A41A2A">
        <w:t>S</w:t>
      </w:r>
      <w:r w:rsidRPr="00BA3B70">
        <w:t xml:space="preserve">tage IV reproductive female </w:t>
      </w:r>
      <w:r>
        <w:t>p</w:t>
      </w:r>
      <w:r w:rsidRPr="00BA3B70">
        <w:t xml:space="preserve">allid </w:t>
      </w:r>
      <w:r>
        <w:t>s</w:t>
      </w:r>
      <w:r w:rsidRPr="00BA3B70">
        <w:t>turgeon have been documented in the lower Platte River and tributaries</w:t>
      </w:r>
      <w:r w:rsidR="00A41A2A">
        <w:t>, including 4 miles up the Loup River, and more than 30 miles up the Elkhorn River</w:t>
      </w:r>
      <w:r w:rsidRPr="00BA3B70">
        <w:t xml:space="preserve">. Evidence of </w:t>
      </w:r>
      <w:r w:rsidR="00A41A2A">
        <w:t xml:space="preserve">potential </w:t>
      </w:r>
      <w:r w:rsidRPr="00BA3B70">
        <w:t>spawning</w:t>
      </w:r>
      <w:r w:rsidR="00A41A2A" w:rsidRPr="00A41A2A">
        <w:t xml:space="preserve"> </w:t>
      </w:r>
      <w:r w:rsidR="00A41A2A" w:rsidRPr="00BA3B70">
        <w:t xml:space="preserve">by a single </w:t>
      </w:r>
      <w:r w:rsidR="001850B1">
        <w:t xml:space="preserve">stage IV </w:t>
      </w:r>
      <w:r w:rsidR="00A41A2A" w:rsidRPr="00BA3B70">
        <w:t xml:space="preserve">female </w:t>
      </w:r>
      <w:r w:rsidR="001850B1">
        <w:t xml:space="preserve">in </w:t>
      </w:r>
      <w:r w:rsidR="00A41A2A">
        <w:t xml:space="preserve">2023 was </w:t>
      </w:r>
      <w:r w:rsidRPr="00BA3B70">
        <w:t xml:space="preserve">based </w:t>
      </w:r>
      <w:r w:rsidR="001850B1">
        <w:t>upon</w:t>
      </w:r>
      <w:r w:rsidRPr="00BA3B70">
        <w:t xml:space="preserve"> departure time and </w:t>
      </w:r>
      <w:r w:rsidR="001850B1">
        <w:t>recapture void of</w:t>
      </w:r>
      <w:r w:rsidRPr="00BA3B70">
        <w:t xml:space="preserve"> eggs</w:t>
      </w:r>
      <w:r w:rsidR="001850B1">
        <w:t>, but to date no genetically confirmed pallid sturgeon embryos or larvae have been collected</w:t>
      </w:r>
      <w:r w:rsidRPr="00BA3B70">
        <w:t>.</w:t>
      </w:r>
    </w:p>
    <w:p w14:paraId="6FABE518" w14:textId="77777777" w:rsidR="00032AFE" w:rsidRDefault="00032AFE" w:rsidP="00D24C10">
      <w:pPr>
        <w:pStyle w:val="NoSpacing"/>
      </w:pPr>
    </w:p>
    <w:p w14:paraId="606E952C" w14:textId="3D6BDE52" w:rsidR="00012EBB" w:rsidRPr="000924AD" w:rsidRDefault="00FB23EF" w:rsidP="00032AFE">
      <w:pPr>
        <w:pStyle w:val="NormalWeb"/>
        <w:spacing w:before="0" w:beforeAutospacing="0" w:after="0" w:afterAutospacing="0"/>
        <w:jc w:val="center"/>
      </w:pPr>
      <w:r>
        <w:rPr>
          <w:noProof/>
        </w:rPr>
        <w:drawing>
          <wp:inline distT="0" distB="0" distL="0" distR="0" wp14:anchorId="420E95D8" wp14:editId="1EAE65DD">
            <wp:extent cx="5600623" cy="4327319"/>
            <wp:effectExtent l="19050" t="19050" r="19685" b="16510"/>
            <wp:docPr id="45377461" name="Picture 2" descr="A map of the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77461" name="Picture 2" descr="A map of the rive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4069" cy="4337708"/>
                    </a:xfrm>
                    <a:prstGeom prst="rect">
                      <a:avLst/>
                    </a:prstGeom>
                    <a:noFill/>
                    <a:ln w="12700">
                      <a:solidFill>
                        <a:schemeClr val="tx1"/>
                      </a:solidFill>
                    </a:ln>
                  </pic:spPr>
                </pic:pic>
              </a:graphicData>
            </a:graphic>
          </wp:inline>
        </w:drawing>
      </w:r>
    </w:p>
    <w:p w14:paraId="6F91A65A" w14:textId="47F4E836" w:rsidR="000C3E2D" w:rsidRDefault="00012EBB" w:rsidP="000C3E2D">
      <w:pPr>
        <w:rPr>
          <w:color w:val="000000"/>
          <w:sz w:val="18"/>
          <w:szCs w:val="18"/>
          <w:bdr w:val="none" w:sz="0" w:space="0" w:color="auto" w:frame="1"/>
          <w:shd w:val="clear" w:color="auto" w:fill="FFFFFF"/>
        </w:rPr>
        <w:sectPr w:rsidR="000C3E2D" w:rsidSect="005B280F">
          <w:pgSz w:w="12240" w:h="15840"/>
          <w:pgMar w:top="1440" w:right="1440" w:bottom="1440" w:left="1440" w:header="720" w:footer="720" w:gutter="0"/>
          <w:lnNumType w:countBy="1" w:restart="newSection"/>
          <w:cols w:space="720"/>
          <w:docGrid w:linePitch="360"/>
        </w:sectPr>
      </w:pPr>
      <w:r w:rsidRPr="0004499F">
        <w:rPr>
          <w:b/>
          <w:bCs/>
          <w:color w:val="000000"/>
          <w:sz w:val="18"/>
          <w:szCs w:val="18"/>
          <w:bdr w:val="none" w:sz="0" w:space="0" w:color="auto" w:frame="1"/>
          <w:shd w:val="clear" w:color="auto" w:fill="FFFFFF"/>
        </w:rPr>
        <w:t xml:space="preserve">Figure </w:t>
      </w:r>
      <w:r w:rsidR="00032AFE">
        <w:rPr>
          <w:b/>
          <w:bCs/>
          <w:color w:val="000000"/>
          <w:sz w:val="18"/>
          <w:szCs w:val="18"/>
          <w:bdr w:val="none" w:sz="0" w:space="0" w:color="auto" w:frame="1"/>
          <w:shd w:val="clear" w:color="auto" w:fill="FFFFFF"/>
        </w:rPr>
        <w:t>4</w:t>
      </w:r>
      <w:r w:rsidR="00244B8F" w:rsidRPr="0004499F">
        <w:rPr>
          <w:color w:val="000000"/>
          <w:sz w:val="18"/>
          <w:szCs w:val="18"/>
          <w:bdr w:val="none" w:sz="0" w:space="0" w:color="auto" w:frame="1"/>
          <w:shd w:val="clear" w:color="auto" w:fill="FFFFFF"/>
        </w:rPr>
        <w:t>.</w:t>
      </w:r>
      <w:r w:rsidR="00244B8F" w:rsidRPr="000C36A5">
        <w:rPr>
          <w:color w:val="000000"/>
          <w:sz w:val="18"/>
          <w:szCs w:val="18"/>
          <w:bdr w:val="none" w:sz="0" w:space="0" w:color="auto" w:frame="1"/>
          <w:shd w:val="clear" w:color="auto" w:fill="FFFFFF"/>
        </w:rPr>
        <w:t xml:space="preserve"> </w:t>
      </w:r>
      <w:r w:rsidRPr="000C36A5">
        <w:rPr>
          <w:color w:val="000000"/>
          <w:sz w:val="18"/>
          <w:szCs w:val="18"/>
          <w:bdr w:val="none" w:sz="0" w:space="0" w:color="auto" w:frame="1"/>
          <w:shd w:val="clear" w:color="auto" w:fill="FFFFFF"/>
        </w:rPr>
        <w:t xml:space="preserve">Map indicating locations of pallid sturgeon captures (green </w:t>
      </w:r>
      <w:r w:rsidR="000924AD" w:rsidRPr="000C36A5">
        <w:rPr>
          <w:color w:val="000000"/>
          <w:sz w:val="18"/>
          <w:szCs w:val="18"/>
          <w:bdr w:val="none" w:sz="0" w:space="0" w:color="auto" w:frame="1"/>
          <w:shd w:val="clear" w:color="auto" w:fill="FFFFFF"/>
        </w:rPr>
        <w:t>square</w:t>
      </w:r>
      <w:r w:rsidRPr="000C36A5">
        <w:rPr>
          <w:color w:val="000000"/>
          <w:sz w:val="18"/>
          <w:szCs w:val="18"/>
          <w:bdr w:val="none" w:sz="0" w:space="0" w:color="auto" w:frame="1"/>
          <w:shd w:val="clear" w:color="auto" w:fill="FFFFFF"/>
        </w:rPr>
        <w:t xml:space="preserve">s), active detections (red </w:t>
      </w:r>
      <w:r w:rsidR="000924AD" w:rsidRPr="000C36A5">
        <w:rPr>
          <w:color w:val="000000"/>
          <w:sz w:val="18"/>
          <w:szCs w:val="18"/>
          <w:bdr w:val="none" w:sz="0" w:space="0" w:color="auto" w:frame="1"/>
          <w:shd w:val="clear" w:color="auto" w:fill="FFFFFF"/>
        </w:rPr>
        <w:t>triangle</w:t>
      </w:r>
      <w:r w:rsidRPr="000C36A5">
        <w:rPr>
          <w:color w:val="000000"/>
          <w:sz w:val="18"/>
          <w:szCs w:val="18"/>
          <w:bdr w:val="none" w:sz="0" w:space="0" w:color="auto" w:frame="1"/>
          <w:shd w:val="clear" w:color="auto" w:fill="FFFFFF"/>
        </w:rPr>
        <w:t xml:space="preserve">s), or passive detections (blue </w:t>
      </w:r>
      <w:r w:rsidR="000924AD" w:rsidRPr="000C36A5">
        <w:rPr>
          <w:color w:val="000000"/>
          <w:sz w:val="18"/>
          <w:szCs w:val="18"/>
          <w:bdr w:val="none" w:sz="0" w:space="0" w:color="auto" w:frame="1"/>
          <w:shd w:val="clear" w:color="auto" w:fill="FFFFFF"/>
        </w:rPr>
        <w:t>crosses</w:t>
      </w:r>
      <w:r w:rsidRPr="000C36A5">
        <w:rPr>
          <w:color w:val="000000"/>
          <w:sz w:val="18"/>
          <w:szCs w:val="18"/>
          <w:bdr w:val="none" w:sz="0" w:space="0" w:color="auto" w:frame="1"/>
          <w:shd w:val="clear" w:color="auto" w:fill="FFFFFF"/>
        </w:rPr>
        <w:t xml:space="preserve">) throughout the lower Platte River system </w:t>
      </w:r>
      <w:r w:rsidR="000924AD" w:rsidRPr="000C36A5">
        <w:rPr>
          <w:color w:val="000000"/>
          <w:sz w:val="18"/>
          <w:szCs w:val="18"/>
          <w:bdr w:val="none" w:sz="0" w:space="0" w:color="auto" w:frame="1"/>
          <w:shd w:val="clear" w:color="auto" w:fill="FFFFFF"/>
        </w:rPr>
        <w:t xml:space="preserve">from March 2022 through </w:t>
      </w:r>
      <w:r w:rsidR="00FB23EF" w:rsidRPr="000C36A5">
        <w:rPr>
          <w:color w:val="000000"/>
          <w:sz w:val="18"/>
          <w:szCs w:val="18"/>
          <w:bdr w:val="none" w:sz="0" w:space="0" w:color="auto" w:frame="1"/>
          <w:shd w:val="clear" w:color="auto" w:fill="FFFFFF"/>
        </w:rPr>
        <w:t>November</w:t>
      </w:r>
      <w:r w:rsidRPr="000C36A5">
        <w:rPr>
          <w:color w:val="000000"/>
          <w:sz w:val="18"/>
          <w:szCs w:val="18"/>
          <w:bdr w:val="none" w:sz="0" w:space="0" w:color="auto" w:frame="1"/>
          <w:shd w:val="clear" w:color="auto" w:fill="FFFFFF"/>
        </w:rPr>
        <w:t xml:space="preserve"> 202</w:t>
      </w:r>
      <w:r w:rsidR="000924AD" w:rsidRPr="000C36A5">
        <w:rPr>
          <w:color w:val="000000"/>
          <w:sz w:val="18"/>
          <w:szCs w:val="18"/>
          <w:bdr w:val="none" w:sz="0" w:space="0" w:color="auto" w:frame="1"/>
          <w:shd w:val="clear" w:color="auto" w:fill="FFFFFF"/>
        </w:rPr>
        <w:t>3</w:t>
      </w:r>
      <w:r w:rsidRPr="000C36A5">
        <w:rPr>
          <w:color w:val="000000"/>
          <w:sz w:val="18"/>
          <w:szCs w:val="18"/>
          <w:bdr w:val="none" w:sz="0" w:space="0" w:color="auto" w:frame="1"/>
          <w:shd w:val="clear" w:color="auto" w:fill="FFFFFF"/>
        </w:rPr>
        <w:t>.</w:t>
      </w:r>
    </w:p>
    <w:p w14:paraId="13D7CD8B" w14:textId="37041D18" w:rsidR="00F22352" w:rsidRPr="000C3E2D" w:rsidRDefault="00F22352" w:rsidP="000C3E2D">
      <w:pPr>
        <w:pStyle w:val="Heading1"/>
        <w:rPr>
          <w:sz w:val="18"/>
          <w:szCs w:val="18"/>
        </w:rPr>
      </w:pPr>
      <w:bookmarkStart w:id="11" w:name="_Toc157060190"/>
      <w:r>
        <w:t xml:space="preserve">Independent Scientific Advisory Committee (ISAC) Comments on </w:t>
      </w:r>
      <w:r w:rsidR="00202468">
        <w:t xml:space="preserve">the </w:t>
      </w:r>
      <w:r>
        <w:t xml:space="preserve">2024 </w:t>
      </w:r>
      <w:proofErr w:type="spellStart"/>
      <w:r>
        <w:t>S</w:t>
      </w:r>
      <w:bookmarkEnd w:id="11"/>
      <w:r w:rsidR="009A2246">
        <w:t>oPR</w:t>
      </w:r>
      <w:proofErr w:type="spellEnd"/>
    </w:p>
    <w:p w14:paraId="58F50CCF" w14:textId="77777777" w:rsidR="00F22352" w:rsidRDefault="00F22352" w:rsidP="00F22352"/>
    <w:p w14:paraId="17CFEC8E" w14:textId="0644DA93" w:rsidR="00384C56" w:rsidRPr="003A54E4" w:rsidRDefault="00384C56" w:rsidP="00384C56">
      <w:pPr>
        <w:rPr>
          <w:b/>
          <w:bCs/>
          <w:color w:val="0070C0"/>
        </w:rPr>
      </w:pPr>
      <w:r w:rsidRPr="003A54E4">
        <w:rPr>
          <w:b/>
          <w:bCs/>
          <w:color w:val="0070C0"/>
          <w:u w:val="single"/>
        </w:rPr>
        <w:t>ISAC Discussion Questions</w:t>
      </w:r>
      <w:r w:rsidRPr="003A54E4">
        <w:rPr>
          <w:b/>
          <w:bCs/>
          <w:color w:val="0070C0"/>
        </w:rPr>
        <w:t xml:space="preserve"> Related to the 2024 </w:t>
      </w:r>
      <w:proofErr w:type="spellStart"/>
      <w:r w:rsidRPr="003A54E4">
        <w:rPr>
          <w:b/>
          <w:bCs/>
          <w:color w:val="0070C0"/>
        </w:rPr>
        <w:t>SoPR</w:t>
      </w:r>
      <w:proofErr w:type="spellEnd"/>
      <w:r w:rsidRPr="003A54E4">
        <w:rPr>
          <w:b/>
          <w:bCs/>
          <w:color w:val="0070C0"/>
        </w:rPr>
        <w:t>:</w:t>
      </w:r>
    </w:p>
    <w:p w14:paraId="1EB2BB2F" w14:textId="77777777" w:rsidR="00384C56" w:rsidRDefault="00384C56" w:rsidP="00384C56">
      <w:pPr>
        <w:pStyle w:val="ListParagraph"/>
        <w:numPr>
          <w:ilvl w:val="0"/>
          <w:numId w:val="26"/>
        </w:numPr>
      </w:pPr>
      <w:r>
        <w:t xml:space="preserve">Do the format and content of the 2024 </w:t>
      </w:r>
      <w:proofErr w:type="spellStart"/>
      <w:r>
        <w:t>SoPR</w:t>
      </w:r>
      <w:proofErr w:type="spellEnd"/>
      <w:r>
        <w:t xml:space="preserve"> appropriately communicate Program progress toward addressing the Extension Big Questions (EBQs) for the intended audience (primarily the GC)?</w:t>
      </w:r>
    </w:p>
    <w:p w14:paraId="49C3CB5F" w14:textId="77777777" w:rsidR="00384C56" w:rsidRDefault="00384C56" w:rsidP="00384C56"/>
    <w:p w14:paraId="775DD86B" w14:textId="77777777" w:rsidR="00384C56" w:rsidRDefault="00384C56" w:rsidP="00384C56">
      <w:pPr>
        <w:pStyle w:val="ListParagraph"/>
        <w:numPr>
          <w:ilvl w:val="0"/>
          <w:numId w:val="26"/>
        </w:numPr>
      </w:pPr>
      <w:r w:rsidRPr="006B72C7">
        <w:t xml:space="preserve">Are the </w:t>
      </w:r>
      <w:r>
        <w:t>2024 EBQ a</w:t>
      </w:r>
      <w:r w:rsidRPr="006B72C7">
        <w:t>ssessments logical based on your understanding of Program data and</w:t>
      </w:r>
      <w:r>
        <w:t xml:space="preserve"> </w:t>
      </w:r>
      <w:r w:rsidRPr="006B72C7">
        <w:t>consistent with what you have learned during your involvement with the Program?</w:t>
      </w:r>
      <w:r>
        <w:t xml:space="preserve"> If not, why (i.e., assessment not supported by accumulated data, etc.)? </w:t>
      </w:r>
      <w:r w:rsidRPr="00E83F37">
        <w:rPr>
          <w:i/>
          <w:iCs/>
        </w:rPr>
        <w:t>The Program requests the ISAC respond to this Discussion Question for each of the 10 EBQs.</w:t>
      </w:r>
    </w:p>
    <w:p w14:paraId="66448A10" w14:textId="77777777" w:rsidR="00384C56" w:rsidRDefault="00384C56" w:rsidP="00384C56">
      <w:pPr>
        <w:pStyle w:val="ListParagraph"/>
      </w:pPr>
    </w:p>
    <w:p w14:paraId="6E717821" w14:textId="77777777" w:rsidR="00384C56" w:rsidRDefault="00384C56" w:rsidP="00384C56">
      <w:pPr>
        <w:pStyle w:val="ListParagraph"/>
        <w:numPr>
          <w:ilvl w:val="0"/>
          <w:numId w:val="26"/>
        </w:numPr>
      </w:pPr>
      <w:r>
        <w:t xml:space="preserve">Does the 2024 </w:t>
      </w:r>
      <w:proofErr w:type="spellStart"/>
      <w:r>
        <w:t>SoPR</w:t>
      </w:r>
      <w:proofErr w:type="spellEnd"/>
      <w:r>
        <w:t xml:space="preserve"> </w:t>
      </w:r>
      <w:r w:rsidRPr="00B01A9F">
        <w:t xml:space="preserve">provide the </w:t>
      </w:r>
      <w:r>
        <w:t xml:space="preserve">appropriate </w:t>
      </w:r>
      <w:r w:rsidRPr="00B01A9F">
        <w:t xml:space="preserve">underlying support or foundation for </w:t>
      </w:r>
      <w:r>
        <w:t xml:space="preserve">key </w:t>
      </w:r>
      <w:r w:rsidRPr="00B01A9F">
        <w:t>idea</w:t>
      </w:r>
      <w:r>
        <w:t xml:space="preserve">s and conclusions, as well as </w:t>
      </w:r>
      <w:r w:rsidRPr="00B01A9F">
        <w:t>the justification for or reasoning behi</w:t>
      </w:r>
      <w:r>
        <w:t>nd those conclusions?</w:t>
      </w:r>
    </w:p>
    <w:p w14:paraId="121A6E8C" w14:textId="77777777" w:rsidR="00384C56" w:rsidRDefault="00384C56" w:rsidP="00384C56"/>
    <w:p w14:paraId="04FF5922" w14:textId="521EDC19" w:rsidR="00384C56" w:rsidRDefault="00384C56" w:rsidP="00384C56">
      <w:pPr>
        <w:pStyle w:val="ListParagraph"/>
        <w:numPr>
          <w:ilvl w:val="0"/>
          <w:numId w:val="26"/>
        </w:numPr>
        <w:sectPr w:rsidR="00384C56" w:rsidSect="005B280F">
          <w:pgSz w:w="12240" w:h="15840"/>
          <w:pgMar w:top="1440" w:right="1440" w:bottom="1440" w:left="1440" w:header="720" w:footer="720" w:gutter="0"/>
          <w:lnNumType w:countBy="1" w:restart="newSection"/>
          <w:cols w:space="720"/>
          <w:docGrid w:linePitch="360"/>
        </w:sectPr>
      </w:pPr>
      <w:r>
        <w:t xml:space="preserve">Based on the content of the 2024 </w:t>
      </w:r>
      <w:proofErr w:type="spellStart"/>
      <w:r>
        <w:t>SoPR</w:t>
      </w:r>
      <w:proofErr w:type="spellEnd"/>
      <w:r>
        <w:t xml:space="preserve"> and your understanding of the Program, is the Program implementing Extension Science Plan management actions, research and monitoring, and data analysis and synthesis in a way that facilities EBQ assessment throughout the remainder of the Extension?</w:t>
      </w:r>
    </w:p>
    <w:p w14:paraId="152A3B65" w14:textId="2758A214" w:rsidR="00F22352" w:rsidRDefault="000C3E2D" w:rsidP="000C3E2D">
      <w:pPr>
        <w:pStyle w:val="Heading1"/>
      </w:pPr>
      <w:bookmarkStart w:id="12" w:name="_Toc157060191"/>
      <w:r>
        <w:t>T</w:t>
      </w:r>
      <w:r w:rsidR="00F22352">
        <w:t xml:space="preserve">echnical Advisory Committee (TAC) Comments on the 2024 </w:t>
      </w:r>
      <w:proofErr w:type="spellStart"/>
      <w:r w:rsidR="00F22352">
        <w:t>S</w:t>
      </w:r>
      <w:bookmarkEnd w:id="12"/>
      <w:r w:rsidR="009A2246">
        <w:t>oPR</w:t>
      </w:r>
      <w:proofErr w:type="spellEnd"/>
    </w:p>
    <w:p w14:paraId="10354492" w14:textId="77777777" w:rsidR="00F22352" w:rsidRDefault="00F22352" w:rsidP="00F22352"/>
    <w:p w14:paraId="7A516784" w14:textId="799BE4D8" w:rsidR="00441ABB" w:rsidRPr="003A54E4" w:rsidRDefault="00441ABB" w:rsidP="00441ABB">
      <w:pPr>
        <w:rPr>
          <w:b/>
          <w:bCs/>
          <w:color w:val="0070C0"/>
        </w:rPr>
      </w:pPr>
      <w:r>
        <w:rPr>
          <w:b/>
          <w:bCs/>
          <w:color w:val="0070C0"/>
          <w:u w:val="single"/>
        </w:rPr>
        <w:t>T</w:t>
      </w:r>
      <w:r w:rsidRPr="003A54E4">
        <w:rPr>
          <w:b/>
          <w:bCs/>
          <w:color w:val="0070C0"/>
          <w:u w:val="single"/>
        </w:rPr>
        <w:t>AC Discussion Questions</w:t>
      </w:r>
      <w:r>
        <w:rPr>
          <w:b/>
          <w:bCs/>
          <w:color w:val="0070C0"/>
        </w:rPr>
        <w:t xml:space="preserve"> </w:t>
      </w:r>
      <w:r w:rsidRPr="003A54E4">
        <w:rPr>
          <w:b/>
          <w:bCs/>
          <w:color w:val="0070C0"/>
        </w:rPr>
        <w:t xml:space="preserve">Related to the 2024 </w:t>
      </w:r>
      <w:proofErr w:type="spellStart"/>
      <w:r w:rsidRPr="003A54E4">
        <w:rPr>
          <w:b/>
          <w:bCs/>
          <w:color w:val="0070C0"/>
        </w:rPr>
        <w:t>SoPR</w:t>
      </w:r>
      <w:proofErr w:type="spellEnd"/>
      <w:r w:rsidRPr="003A54E4">
        <w:rPr>
          <w:b/>
          <w:bCs/>
          <w:color w:val="0070C0"/>
        </w:rPr>
        <w:t>:</w:t>
      </w:r>
    </w:p>
    <w:p w14:paraId="1FFD2E70" w14:textId="77777777" w:rsidR="00441ABB" w:rsidRDefault="00441ABB" w:rsidP="00441ABB">
      <w:pPr>
        <w:pStyle w:val="ListParagraph"/>
        <w:numPr>
          <w:ilvl w:val="0"/>
          <w:numId w:val="27"/>
        </w:numPr>
      </w:pPr>
      <w:r w:rsidRPr="00B35003">
        <w:rPr>
          <w:b/>
          <w:bCs/>
        </w:rPr>
        <w:t>General Question</w:t>
      </w:r>
      <w:r>
        <w:rPr>
          <w:b/>
          <w:bCs/>
        </w:rPr>
        <w:t xml:space="preserve"> Related to the </w:t>
      </w:r>
      <w:proofErr w:type="spellStart"/>
      <w:r>
        <w:rPr>
          <w:b/>
          <w:bCs/>
        </w:rPr>
        <w:t>SoPR</w:t>
      </w:r>
      <w:proofErr w:type="spellEnd"/>
      <w:r w:rsidRPr="00B35003">
        <w:rPr>
          <w:b/>
          <w:bCs/>
        </w:rPr>
        <w:t>:</w:t>
      </w:r>
      <w:r>
        <w:t xml:space="preserve"> Do the format and content of the 2024 </w:t>
      </w:r>
      <w:proofErr w:type="spellStart"/>
      <w:r>
        <w:t>SoPR</w:t>
      </w:r>
      <w:proofErr w:type="spellEnd"/>
      <w:r>
        <w:t xml:space="preserve"> appropriately communicate Program progress toward addressing the Extension Big Questions (EBQs) for the intended audience (primarily the GC)?</w:t>
      </w:r>
    </w:p>
    <w:p w14:paraId="4EEB3F5A" w14:textId="77777777" w:rsidR="00441ABB" w:rsidRDefault="00441ABB" w:rsidP="00441ABB"/>
    <w:p w14:paraId="31EA302B" w14:textId="77777777" w:rsidR="00441ABB" w:rsidRDefault="00441ABB" w:rsidP="00441ABB">
      <w:pPr>
        <w:pStyle w:val="ListParagraph"/>
        <w:numPr>
          <w:ilvl w:val="0"/>
          <w:numId w:val="27"/>
        </w:numPr>
      </w:pPr>
      <w:r w:rsidRPr="00B35003">
        <w:rPr>
          <w:b/>
          <w:bCs/>
        </w:rPr>
        <w:t>Specific Question</w:t>
      </w:r>
      <w:r>
        <w:rPr>
          <w:b/>
          <w:bCs/>
        </w:rPr>
        <w:t xml:space="preserve"> Related to the EBQs</w:t>
      </w:r>
      <w:r w:rsidRPr="00B35003">
        <w:rPr>
          <w:b/>
          <w:bCs/>
        </w:rPr>
        <w:t>:</w:t>
      </w:r>
      <w:r>
        <w:t xml:space="preserve"> </w:t>
      </w:r>
      <w:r w:rsidRPr="006B72C7">
        <w:t xml:space="preserve">Are the </w:t>
      </w:r>
      <w:r>
        <w:t>2024 EBQ a</w:t>
      </w:r>
      <w:r w:rsidRPr="006B72C7">
        <w:t>ssessments logical based on your understanding of Program data and</w:t>
      </w:r>
      <w:r>
        <w:t xml:space="preserve"> </w:t>
      </w:r>
      <w:r w:rsidRPr="006B72C7">
        <w:t>consistent with what you have learned during your involvement with the Program?</w:t>
      </w:r>
      <w:r>
        <w:t xml:space="preserve"> If not, why (i.e., assessment not supported by accumulated data, etc.)? </w:t>
      </w:r>
      <w:r w:rsidRPr="00E83F37">
        <w:rPr>
          <w:i/>
          <w:iCs/>
        </w:rPr>
        <w:t>The</w:t>
      </w:r>
      <w:r>
        <w:rPr>
          <w:i/>
          <w:iCs/>
        </w:rPr>
        <w:t xml:space="preserve"> EDO </w:t>
      </w:r>
      <w:r w:rsidRPr="00E83F37">
        <w:rPr>
          <w:i/>
          <w:iCs/>
        </w:rPr>
        <w:t xml:space="preserve">requests the </w:t>
      </w:r>
      <w:r>
        <w:rPr>
          <w:i/>
          <w:iCs/>
        </w:rPr>
        <w:t>T</w:t>
      </w:r>
      <w:r w:rsidRPr="00E83F37">
        <w:rPr>
          <w:i/>
          <w:iCs/>
        </w:rPr>
        <w:t xml:space="preserve">AC respond to this Discussion Question for each of the </w:t>
      </w:r>
      <w:r>
        <w:rPr>
          <w:i/>
          <w:iCs/>
        </w:rPr>
        <w:t>ten (</w:t>
      </w:r>
      <w:r w:rsidRPr="00E83F37">
        <w:rPr>
          <w:i/>
          <w:iCs/>
        </w:rPr>
        <w:t>10</w:t>
      </w:r>
      <w:r>
        <w:rPr>
          <w:i/>
          <w:iCs/>
        </w:rPr>
        <w:t>)</w:t>
      </w:r>
      <w:r w:rsidRPr="00E83F37">
        <w:rPr>
          <w:i/>
          <w:iCs/>
        </w:rPr>
        <w:t xml:space="preserve"> EBQs.</w:t>
      </w:r>
    </w:p>
    <w:p w14:paraId="6743572D" w14:textId="2C7C014B" w:rsidR="004878D3" w:rsidRDefault="004878D3" w:rsidP="00F22352">
      <w:pPr>
        <w:sectPr w:rsidR="004878D3" w:rsidSect="005B280F">
          <w:pgSz w:w="12240" w:h="15840"/>
          <w:pgMar w:top="1440" w:right="1440" w:bottom="1440" w:left="1440" w:header="720" w:footer="720" w:gutter="0"/>
          <w:lnNumType w:countBy="1" w:restart="newSection"/>
          <w:cols w:space="720"/>
          <w:docGrid w:linePitch="360"/>
        </w:sectPr>
      </w:pPr>
    </w:p>
    <w:p w14:paraId="5817CD04" w14:textId="71D1E89A" w:rsidR="003018EF" w:rsidRPr="009A2246" w:rsidRDefault="004878D3" w:rsidP="009A2246">
      <w:pPr>
        <w:pStyle w:val="Heading1"/>
      </w:pPr>
      <w:bookmarkStart w:id="13" w:name="_Toc157060192"/>
      <w:r w:rsidRPr="009A2246">
        <w:t>Ex</w:t>
      </w:r>
      <w:r w:rsidR="00FE09A4" w:rsidRPr="009A2246">
        <w:t>tension Starting Point: Summary of Key Learning from the First Increment</w:t>
      </w:r>
      <w:bookmarkEnd w:id="13"/>
    </w:p>
    <w:p w14:paraId="29985B30" w14:textId="78A26AA1" w:rsidR="00F16EE1" w:rsidRDefault="003B3D25" w:rsidP="00F16EE1">
      <w:r>
        <w:t xml:space="preserve">The 2019 </w:t>
      </w:r>
      <w:proofErr w:type="spellStart"/>
      <w:r>
        <w:t>S</w:t>
      </w:r>
      <w:r w:rsidR="009A2246">
        <w:t>oPR</w:t>
      </w:r>
      <w:proofErr w:type="spellEnd"/>
      <w:r w:rsidR="009A2246">
        <w:t xml:space="preserve"> </w:t>
      </w:r>
      <w:r w:rsidR="00105E66">
        <w:t xml:space="preserve">identified the following </w:t>
      </w:r>
      <w:r w:rsidR="00366223">
        <w:t>key learning observations from implementation of the Program’s original Adaptive Management Plan (AMP) during the First Increment</w:t>
      </w:r>
      <w:r w:rsidR="002931EE">
        <w:t xml:space="preserve"> (years 2007-2019)</w:t>
      </w:r>
      <w:r w:rsidR="00366223">
        <w:t>:</w:t>
      </w:r>
    </w:p>
    <w:p w14:paraId="5799E444" w14:textId="77777777" w:rsidR="00366223" w:rsidRDefault="00366223" w:rsidP="00D47888"/>
    <w:p w14:paraId="7DF557AE" w14:textId="5390F2F3" w:rsidR="00366223" w:rsidRDefault="00D47888" w:rsidP="00D47888">
      <w:pPr>
        <w:pStyle w:val="ListParagraph"/>
        <w:numPr>
          <w:ilvl w:val="0"/>
          <w:numId w:val="16"/>
        </w:numPr>
        <w:rPr>
          <w:i/>
          <w:iCs/>
        </w:rPr>
      </w:pPr>
      <w:r w:rsidRPr="00366223">
        <w:rPr>
          <w:i/>
          <w:iCs/>
        </w:rPr>
        <w:t>Attempts to implement the flow-sediment-mech</w:t>
      </w:r>
      <w:r w:rsidR="00366223" w:rsidRPr="00366223">
        <w:rPr>
          <w:i/>
          <w:iCs/>
        </w:rPr>
        <w:t>anic</w:t>
      </w:r>
      <w:r w:rsidRPr="00366223">
        <w:rPr>
          <w:i/>
          <w:iCs/>
        </w:rPr>
        <w:t>al (FSM) management strategy generally produced poor results.</w:t>
      </w:r>
    </w:p>
    <w:p w14:paraId="2ADE7983" w14:textId="77777777" w:rsidR="008615DB" w:rsidRPr="008615DB" w:rsidRDefault="008615DB" w:rsidP="00D47888">
      <w:pPr>
        <w:pStyle w:val="ListParagraph"/>
        <w:numPr>
          <w:ilvl w:val="0"/>
          <w:numId w:val="17"/>
        </w:numPr>
        <w:rPr>
          <w:i/>
          <w:iCs/>
        </w:rPr>
      </w:pPr>
      <w:r>
        <w:t>Short-duration high flows (</w:t>
      </w:r>
      <w:r w:rsidR="00D47888">
        <w:t>SDHF</w:t>
      </w:r>
      <w:r>
        <w:t>s)</w:t>
      </w:r>
      <w:r w:rsidR="00D47888">
        <w:t xml:space="preserve"> (5,000-8,000 cfs for three (3) days at Overton, NE) </w:t>
      </w:r>
      <w:r>
        <w:t xml:space="preserve">are </w:t>
      </w:r>
      <w:r w:rsidR="00D47888">
        <w:t>highly unlikely to create or maintain suitable least tern and piping plover nesting habitat or whooping crane roosting habitat.</w:t>
      </w:r>
    </w:p>
    <w:p w14:paraId="730B176F" w14:textId="77777777" w:rsidR="00DB1C9A" w:rsidRPr="00DB1C9A" w:rsidRDefault="00D47888" w:rsidP="00D47888">
      <w:pPr>
        <w:pStyle w:val="ListParagraph"/>
        <w:numPr>
          <w:ilvl w:val="0"/>
          <w:numId w:val="17"/>
        </w:numPr>
        <w:rPr>
          <w:i/>
          <w:iCs/>
        </w:rPr>
      </w:pPr>
      <w:r>
        <w:t>Flow consolidation is not feasible due to legal and permitting constraints.</w:t>
      </w:r>
    </w:p>
    <w:p w14:paraId="2D68FC47" w14:textId="77777777" w:rsidR="00DB1C9A" w:rsidRPr="00DB1C9A" w:rsidRDefault="00D47888" w:rsidP="00D47888">
      <w:pPr>
        <w:pStyle w:val="ListParagraph"/>
        <w:numPr>
          <w:ilvl w:val="0"/>
          <w:numId w:val="17"/>
        </w:numPr>
        <w:rPr>
          <w:i/>
          <w:iCs/>
        </w:rPr>
      </w:pPr>
      <w:r>
        <w:t>A sediment deficit exists in the south channel downstream of the J-2 Return. Five to seven years of full-scale sediment augmentation are necessary to assess efficiency and effectiveness in preventing downstream migration of incision and narrowing.</w:t>
      </w:r>
    </w:p>
    <w:p w14:paraId="3A4F108F" w14:textId="77777777" w:rsidR="00DB1C9A" w:rsidRPr="00DB1C9A" w:rsidRDefault="00D47888" w:rsidP="00D47888">
      <w:pPr>
        <w:pStyle w:val="ListParagraph"/>
        <w:numPr>
          <w:ilvl w:val="0"/>
          <w:numId w:val="17"/>
        </w:numPr>
        <w:rPr>
          <w:i/>
          <w:iCs/>
        </w:rPr>
      </w:pPr>
      <w:r>
        <w:t>First Increment learning occurred largely through natural flow events as the Program was unable to implement a true SDHF and was not able to conduct flow consolidation actions.</w:t>
      </w:r>
    </w:p>
    <w:p w14:paraId="202EA11E" w14:textId="77777777" w:rsidR="00DB1C9A" w:rsidRDefault="00DB1C9A" w:rsidP="00DB1C9A"/>
    <w:p w14:paraId="1E402EA9" w14:textId="1E9AA6A5" w:rsidR="00D47888" w:rsidRPr="00DB1C9A" w:rsidRDefault="00D47888" w:rsidP="00DB1C9A">
      <w:pPr>
        <w:pStyle w:val="ListParagraph"/>
        <w:numPr>
          <w:ilvl w:val="0"/>
          <w:numId w:val="16"/>
        </w:numPr>
        <w:rPr>
          <w:i/>
          <w:iCs/>
        </w:rPr>
      </w:pPr>
      <w:r w:rsidRPr="00DB1C9A">
        <w:rPr>
          <w:i/>
          <w:iCs/>
        </w:rPr>
        <w:t xml:space="preserve">Implementation of the </w:t>
      </w:r>
      <w:r w:rsidR="00DB1C9A" w:rsidRPr="00DB1C9A">
        <w:rPr>
          <w:i/>
          <w:iCs/>
        </w:rPr>
        <w:t>mechanical</w:t>
      </w:r>
      <w:r w:rsidRPr="00DB1C9A">
        <w:rPr>
          <w:i/>
          <w:iCs/>
        </w:rPr>
        <w:t xml:space="preserve"> creation and maintenance (MCM) management strategy</w:t>
      </w:r>
      <w:r w:rsidR="00116DA9">
        <w:rPr>
          <w:i/>
          <w:iCs/>
        </w:rPr>
        <w:t xml:space="preserve"> </w:t>
      </w:r>
      <w:r w:rsidRPr="00DB1C9A">
        <w:rPr>
          <w:i/>
          <w:iCs/>
        </w:rPr>
        <w:t>produced mixed results.</w:t>
      </w:r>
    </w:p>
    <w:p w14:paraId="0DD75DFE" w14:textId="77777777" w:rsidR="009859A5" w:rsidRDefault="00D47888" w:rsidP="00D47888">
      <w:pPr>
        <w:pStyle w:val="ListParagraph"/>
        <w:numPr>
          <w:ilvl w:val="0"/>
          <w:numId w:val="18"/>
        </w:numPr>
      </w:pPr>
      <w:r>
        <w:t>Suitable on-channel whooping crane roosting habitat can be mechanically created and maintained on Program (or other managed) lands but off-channel palustrine wetland roosting habitat is not a viable alternative to on-channel habitat due to a lack of potential restoration sites and costs associated with the creation of new wetland sites.</w:t>
      </w:r>
    </w:p>
    <w:p w14:paraId="3323D6F1" w14:textId="77777777" w:rsidR="009859A5" w:rsidRDefault="00D47888" w:rsidP="00D47888">
      <w:pPr>
        <w:pStyle w:val="ListParagraph"/>
        <w:numPr>
          <w:ilvl w:val="0"/>
          <w:numId w:val="18"/>
        </w:numPr>
      </w:pPr>
      <w:r>
        <w:t>Off-channel tern and plover nesting habitat can be created and maintained using a variety of methods but on-channel nesting habitat is difficult to construct and erodes quickly.</w:t>
      </w:r>
    </w:p>
    <w:p w14:paraId="0FE6C7F0" w14:textId="77777777" w:rsidR="009859A5" w:rsidRDefault="009859A5" w:rsidP="009859A5"/>
    <w:p w14:paraId="188944AD" w14:textId="32E8DF14" w:rsidR="00D47888" w:rsidRPr="009859A5" w:rsidRDefault="00D47888" w:rsidP="009859A5">
      <w:pPr>
        <w:pStyle w:val="ListParagraph"/>
        <w:numPr>
          <w:ilvl w:val="0"/>
          <w:numId w:val="16"/>
        </w:numPr>
        <w:rPr>
          <w:i/>
          <w:iCs/>
        </w:rPr>
      </w:pPr>
      <w:r w:rsidRPr="009859A5">
        <w:rPr>
          <w:i/>
          <w:iCs/>
        </w:rPr>
        <w:t>The target species</w:t>
      </w:r>
      <w:r w:rsidR="00116DA9">
        <w:rPr>
          <w:i/>
          <w:iCs/>
        </w:rPr>
        <w:t xml:space="preserve"> responded </w:t>
      </w:r>
      <w:r w:rsidRPr="009859A5">
        <w:rPr>
          <w:i/>
          <w:iCs/>
        </w:rPr>
        <w:t>to the implementation of Program management actions.</w:t>
      </w:r>
    </w:p>
    <w:p w14:paraId="50AEF8B1" w14:textId="77777777" w:rsidR="008B4804" w:rsidRDefault="00D47888" w:rsidP="00D47888">
      <w:pPr>
        <w:pStyle w:val="ListParagraph"/>
        <w:numPr>
          <w:ilvl w:val="0"/>
          <w:numId w:val="19"/>
        </w:numPr>
      </w:pPr>
      <w:r>
        <w:t>Least tern and piping plover populations in the AHR have increased significantly and proportionately to increases in habitat availability due to Program off-channel habitat creation efforts. Productivity on off-channel habitats has been sufficient to maintain stable to growing subpopulations.</w:t>
      </w:r>
    </w:p>
    <w:p w14:paraId="3188D689" w14:textId="77777777" w:rsidR="008B4804" w:rsidRDefault="00D47888" w:rsidP="00D47888">
      <w:pPr>
        <w:pStyle w:val="ListParagraph"/>
        <w:numPr>
          <w:ilvl w:val="0"/>
          <w:numId w:val="19"/>
        </w:numPr>
      </w:pPr>
      <w:r>
        <w:t>Based upon available data, least tern and piping plover productivity is insensitive to river flow. Periods of low flow have not reduced productivity due to a limitation in forage availability.</w:t>
      </w:r>
    </w:p>
    <w:p w14:paraId="3D9D47D5" w14:textId="12F08E1E" w:rsidR="00D47888" w:rsidRDefault="00D47888" w:rsidP="00D47888">
      <w:pPr>
        <w:pStyle w:val="ListParagraph"/>
        <w:numPr>
          <w:ilvl w:val="0"/>
          <w:numId w:val="19"/>
        </w:numPr>
      </w:pPr>
      <w:r>
        <w:t>Whooping crane use of the AHR has increased significantly and proportionally to increases in habitat suitability that are in part due to Program management actions.</w:t>
      </w:r>
    </w:p>
    <w:p w14:paraId="2EC568C7" w14:textId="77777777" w:rsidR="009859A5" w:rsidRDefault="009859A5" w:rsidP="00D47888">
      <w:pPr>
        <w:rPr>
          <w:rFonts w:ascii="Segoe UI Symbol" w:hAnsi="Segoe UI Symbol" w:cs="Segoe UI Symbol"/>
        </w:rPr>
      </w:pPr>
    </w:p>
    <w:p w14:paraId="55D9808F" w14:textId="6C184BE0" w:rsidR="00D47888" w:rsidRPr="008B4804" w:rsidRDefault="00116DA9" w:rsidP="009859A5">
      <w:pPr>
        <w:pStyle w:val="ListParagraph"/>
        <w:numPr>
          <w:ilvl w:val="0"/>
          <w:numId w:val="16"/>
        </w:numPr>
        <w:rPr>
          <w:i/>
          <w:iCs/>
        </w:rPr>
      </w:pPr>
      <w:r>
        <w:rPr>
          <w:i/>
          <w:iCs/>
        </w:rPr>
        <w:t>The</w:t>
      </w:r>
      <w:r w:rsidR="00DB72B5">
        <w:rPr>
          <w:i/>
          <w:iCs/>
        </w:rPr>
        <w:t>re</w:t>
      </w:r>
      <w:r>
        <w:rPr>
          <w:i/>
          <w:iCs/>
        </w:rPr>
        <w:t xml:space="preserve"> was limited l</w:t>
      </w:r>
      <w:r w:rsidR="00D47888" w:rsidRPr="008B4804">
        <w:rPr>
          <w:i/>
          <w:iCs/>
        </w:rPr>
        <w:t>earning related to pallid sturgeon and the Program</w:t>
      </w:r>
      <w:r>
        <w:rPr>
          <w:i/>
          <w:iCs/>
        </w:rPr>
        <w:t>.</w:t>
      </w:r>
    </w:p>
    <w:p w14:paraId="218ADDB7" w14:textId="77777777" w:rsidR="008B4804" w:rsidRDefault="00D47888" w:rsidP="00D47888">
      <w:pPr>
        <w:pStyle w:val="ListParagraph"/>
        <w:numPr>
          <w:ilvl w:val="0"/>
          <w:numId w:val="20"/>
        </w:numPr>
      </w:pPr>
      <w:r>
        <w:t>Translation of Program flow management actions from the central Platte to the lower Platte is difficult to detect and thus difficult to relate to effects on habitat and species response.</w:t>
      </w:r>
    </w:p>
    <w:p w14:paraId="58A6076F" w14:textId="241DAD37" w:rsidR="00D47888" w:rsidRDefault="00D47888" w:rsidP="00D47888">
      <w:pPr>
        <w:pStyle w:val="ListParagraph"/>
        <w:numPr>
          <w:ilvl w:val="0"/>
          <w:numId w:val="20"/>
        </w:numPr>
      </w:pPr>
      <w:r>
        <w:t>Significant uncertainty relating to the life history of pallid sturgeon on the lower Platte (use, productivity, recruitment) has limited the ability of the Program to develop a clear set of testable hypotheses, management actions, monitoring protocols, and a plan for data analysis and synthesis.</w:t>
      </w:r>
    </w:p>
    <w:p w14:paraId="66AB9F74" w14:textId="29F72BD7" w:rsidR="00F16EE1" w:rsidRDefault="00F16EE1" w:rsidP="00F16EE1"/>
    <w:p w14:paraId="6C7B0C50" w14:textId="2DCA6852" w:rsidR="00D47888" w:rsidRDefault="00116DA9">
      <w:pPr>
        <w:rPr>
          <w:kern w:val="0"/>
          <w14:ligatures w14:val="none"/>
        </w:rPr>
      </w:pPr>
      <w:r>
        <w:rPr>
          <w:kern w:val="0"/>
          <w14:ligatures w14:val="none"/>
        </w:rPr>
        <w:t xml:space="preserve">These key learning observations were reflected in the </w:t>
      </w:r>
      <w:r w:rsidR="00B7212F">
        <w:rPr>
          <w:kern w:val="0"/>
          <w14:ligatures w14:val="none"/>
        </w:rPr>
        <w:t>final assessment of the First Increment Big Questions</w:t>
      </w:r>
      <w:r w:rsidR="000841CE">
        <w:rPr>
          <w:kern w:val="0"/>
          <w14:ligatures w14:val="none"/>
        </w:rPr>
        <w:t xml:space="preserve"> (see </w:t>
      </w:r>
      <w:r w:rsidR="000841CE" w:rsidRPr="000841CE">
        <w:rPr>
          <w:b/>
          <w:bCs/>
          <w:kern w:val="0"/>
          <w14:ligatures w14:val="none"/>
        </w:rPr>
        <w:t xml:space="preserve">Table </w:t>
      </w:r>
      <w:r w:rsidR="00F35870">
        <w:rPr>
          <w:b/>
          <w:bCs/>
          <w:kern w:val="0"/>
          <w14:ligatures w14:val="none"/>
        </w:rPr>
        <w:t>1</w:t>
      </w:r>
      <w:r w:rsidR="000841CE">
        <w:rPr>
          <w:kern w:val="0"/>
          <w14:ligatures w14:val="none"/>
        </w:rPr>
        <w:t>)</w:t>
      </w:r>
      <w:r w:rsidR="00B7212F">
        <w:rPr>
          <w:kern w:val="0"/>
          <w14:ligatures w14:val="none"/>
        </w:rPr>
        <w:t xml:space="preserve">. As the Program </w:t>
      </w:r>
      <w:r w:rsidR="000841CE">
        <w:rPr>
          <w:kern w:val="0"/>
          <w14:ligatures w14:val="none"/>
        </w:rPr>
        <w:t>developed the Extension Science Plan, the</w:t>
      </w:r>
      <w:r w:rsidR="00C64D42">
        <w:rPr>
          <w:kern w:val="0"/>
          <w14:ligatures w14:val="none"/>
        </w:rPr>
        <w:t xml:space="preserve"> First Increment Big Questions were included as</w:t>
      </w:r>
      <w:r w:rsidR="00B4600B">
        <w:rPr>
          <w:kern w:val="0"/>
          <w14:ligatures w14:val="none"/>
        </w:rPr>
        <w:t xml:space="preserve"> </w:t>
      </w:r>
      <w:r w:rsidR="00533025">
        <w:rPr>
          <w:kern w:val="0"/>
          <w14:ligatures w14:val="none"/>
        </w:rPr>
        <w:t xml:space="preserve">a </w:t>
      </w:r>
      <w:r w:rsidR="00B4600B">
        <w:rPr>
          <w:kern w:val="0"/>
          <w14:ligatures w14:val="none"/>
        </w:rPr>
        <w:t xml:space="preserve">link back to early Program learning and also to </w:t>
      </w:r>
      <w:r w:rsidR="00533025">
        <w:rPr>
          <w:kern w:val="0"/>
          <w14:ligatures w14:val="none"/>
        </w:rPr>
        <w:t>provide the context for routine check-ins</w:t>
      </w:r>
      <w:r w:rsidR="00F22352">
        <w:rPr>
          <w:kern w:val="0"/>
          <w14:ligatures w14:val="none"/>
        </w:rPr>
        <w:t xml:space="preserve"> based on new and expanded science learning during the Extension</w:t>
      </w:r>
      <w:r w:rsidR="00DB72B5">
        <w:rPr>
          <w:kern w:val="0"/>
          <w14:ligatures w14:val="none"/>
        </w:rPr>
        <w:t xml:space="preserve"> (see </w:t>
      </w:r>
      <w:r w:rsidR="00DB72B5" w:rsidRPr="00032AFE">
        <w:rPr>
          <w:b/>
          <w:bCs/>
          <w:kern w:val="0"/>
          <w14:ligatures w14:val="none"/>
        </w:rPr>
        <w:t>Appendix A</w:t>
      </w:r>
      <w:r w:rsidR="00DB72B5">
        <w:rPr>
          <w:kern w:val="0"/>
          <w14:ligatures w14:val="none"/>
        </w:rPr>
        <w:t xml:space="preserve"> for five-year check-in on WC roost site selection)</w:t>
      </w:r>
      <w:r w:rsidR="00F22352">
        <w:rPr>
          <w:kern w:val="0"/>
          <w14:ligatures w14:val="none"/>
        </w:rPr>
        <w:t>.</w:t>
      </w:r>
    </w:p>
    <w:p w14:paraId="599DC865" w14:textId="77777777" w:rsidR="00533025" w:rsidRDefault="00533025">
      <w:pPr>
        <w:rPr>
          <w:kern w:val="0"/>
          <w14:ligatures w14:val="none"/>
        </w:rPr>
      </w:pPr>
    </w:p>
    <w:p w14:paraId="1EE5B968" w14:textId="44521631" w:rsidR="00F16EE1" w:rsidRPr="00615E4C" w:rsidRDefault="00204209" w:rsidP="00615E4C">
      <w:pPr>
        <w:pStyle w:val="Heading2"/>
      </w:pPr>
      <w:bookmarkStart w:id="14" w:name="_Toc157060193"/>
      <w:r w:rsidRPr="00615E4C">
        <w:t xml:space="preserve">Table </w:t>
      </w:r>
      <w:r w:rsidR="00D17A2B">
        <w:t>1</w:t>
      </w:r>
      <w:r w:rsidRPr="00615E4C">
        <w:t xml:space="preserve">. First </w:t>
      </w:r>
      <w:r w:rsidR="004166F7" w:rsidRPr="00615E4C">
        <w:t>Increment Big Question Status Check-Ins.</w:t>
      </w:r>
      <w:bookmarkEnd w:id="14"/>
    </w:p>
    <w:p w14:paraId="19A4EB98" w14:textId="065F0D3C" w:rsidR="00204209" w:rsidRPr="00032AFE" w:rsidRDefault="00204209" w:rsidP="00F16EE1">
      <w:pPr>
        <w:rPr>
          <w:kern w:val="0"/>
          <w:sz w:val="16"/>
          <w:szCs w:val="16"/>
          <w14:ligatures w14:val="none"/>
        </w:rPr>
      </w:pPr>
    </w:p>
    <w:tbl>
      <w:tblPr>
        <w:tblW w:w="95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775"/>
        <w:gridCol w:w="1620"/>
        <w:gridCol w:w="4140"/>
      </w:tblGrid>
      <w:tr w:rsidR="00F16EE1" w:rsidRPr="000E56F9" w14:paraId="6FDD9594" w14:textId="77777777" w:rsidTr="00A62500">
        <w:tc>
          <w:tcPr>
            <w:tcW w:w="3775" w:type="dxa"/>
            <w:shd w:val="clear" w:color="auto" w:fill="7F7F7F"/>
            <w:vAlign w:val="center"/>
          </w:tcPr>
          <w:p w14:paraId="6E0690FD" w14:textId="3F44399E" w:rsidR="00F16EE1" w:rsidRPr="000E56F9" w:rsidRDefault="00F16EE1" w:rsidP="00F16EE1">
            <w:pPr>
              <w:jc w:val="center"/>
              <w:rPr>
                <w:rFonts w:asciiTheme="minorHAnsi" w:hAnsiTheme="minorHAnsi" w:cstheme="minorHAnsi"/>
                <w:b/>
                <w:color w:val="FFFFFF"/>
                <w:kern w:val="0"/>
                <w:sz w:val="18"/>
                <w:szCs w:val="18"/>
                <w14:ligatures w14:val="none"/>
              </w:rPr>
            </w:pPr>
            <w:r w:rsidRPr="000E56F9">
              <w:rPr>
                <w:rFonts w:asciiTheme="minorHAnsi" w:hAnsiTheme="minorHAnsi" w:cstheme="minorHAnsi"/>
                <w:color w:val="000000" w:themeColor="text1"/>
                <w:kern w:val="0"/>
                <w:sz w:val="18"/>
                <w:szCs w:val="18"/>
                <w14:ligatures w14:val="none"/>
              </w:rPr>
              <w:br w:type="page"/>
            </w:r>
            <w:r w:rsidRPr="000E56F9">
              <w:rPr>
                <w:rFonts w:asciiTheme="minorHAnsi" w:hAnsiTheme="minorHAnsi" w:cstheme="minorHAnsi"/>
                <w:b/>
                <w:color w:val="FFFFFF"/>
                <w:kern w:val="0"/>
                <w:sz w:val="18"/>
                <w:szCs w:val="18"/>
                <w14:ligatures w14:val="none"/>
              </w:rPr>
              <w:t xml:space="preserve">PRRIP </w:t>
            </w:r>
            <w:r w:rsidR="0076303E">
              <w:rPr>
                <w:rFonts w:asciiTheme="minorHAnsi" w:hAnsiTheme="minorHAnsi" w:cstheme="minorHAnsi"/>
                <w:b/>
                <w:color w:val="FFFFFF"/>
                <w:kern w:val="0"/>
                <w:sz w:val="18"/>
                <w:szCs w:val="18"/>
                <w14:ligatures w14:val="none"/>
              </w:rPr>
              <w:t xml:space="preserve">First Increment </w:t>
            </w:r>
            <w:r w:rsidRPr="000E56F9">
              <w:rPr>
                <w:rFonts w:asciiTheme="minorHAnsi" w:hAnsiTheme="minorHAnsi" w:cstheme="minorHAnsi"/>
                <w:b/>
                <w:color w:val="FFFFFF"/>
                <w:kern w:val="0"/>
                <w:sz w:val="18"/>
                <w:szCs w:val="18"/>
                <w14:ligatures w14:val="none"/>
              </w:rPr>
              <w:t>Big Question</w:t>
            </w:r>
            <w:r w:rsidR="0076303E">
              <w:rPr>
                <w:rFonts w:asciiTheme="minorHAnsi" w:hAnsiTheme="minorHAnsi" w:cstheme="minorHAnsi"/>
                <w:b/>
                <w:color w:val="FFFFFF"/>
                <w:kern w:val="0"/>
                <w:sz w:val="18"/>
                <w:szCs w:val="18"/>
                <w14:ligatures w14:val="none"/>
              </w:rPr>
              <w:t>s</w:t>
            </w:r>
          </w:p>
        </w:tc>
        <w:tc>
          <w:tcPr>
            <w:tcW w:w="1620" w:type="dxa"/>
            <w:shd w:val="clear" w:color="auto" w:fill="7F7F7F"/>
            <w:vAlign w:val="center"/>
          </w:tcPr>
          <w:p w14:paraId="0CF51B52" w14:textId="2E4E8CF9" w:rsidR="00F16EE1" w:rsidRPr="000E56F9" w:rsidRDefault="00F16EE1" w:rsidP="00F16EE1">
            <w:pPr>
              <w:jc w:val="center"/>
              <w:rPr>
                <w:rFonts w:asciiTheme="minorHAnsi" w:hAnsiTheme="minorHAnsi" w:cstheme="minorHAnsi"/>
                <w:b/>
                <w:color w:val="FFFFFF"/>
                <w:kern w:val="0"/>
                <w:sz w:val="18"/>
                <w:szCs w:val="18"/>
                <w14:ligatures w14:val="none"/>
              </w:rPr>
            </w:pPr>
            <w:r w:rsidRPr="000E56F9">
              <w:rPr>
                <w:rFonts w:asciiTheme="minorHAnsi" w:hAnsiTheme="minorHAnsi" w:cstheme="minorHAnsi"/>
                <w:b/>
                <w:color w:val="FFFFFF"/>
                <w:kern w:val="0"/>
                <w:sz w:val="18"/>
                <w:szCs w:val="18"/>
                <w14:ligatures w14:val="none"/>
              </w:rPr>
              <w:t>2019 Assessment</w:t>
            </w:r>
          </w:p>
        </w:tc>
        <w:tc>
          <w:tcPr>
            <w:tcW w:w="4140" w:type="dxa"/>
            <w:shd w:val="clear" w:color="auto" w:fill="7F7F7F"/>
            <w:vAlign w:val="center"/>
          </w:tcPr>
          <w:p w14:paraId="3225D15C" w14:textId="77777777" w:rsidR="00F16EE1" w:rsidRPr="000E56F9" w:rsidRDefault="00F16EE1" w:rsidP="00F16EE1">
            <w:pPr>
              <w:jc w:val="center"/>
              <w:rPr>
                <w:rFonts w:asciiTheme="minorHAnsi" w:hAnsiTheme="minorHAnsi" w:cstheme="minorHAnsi"/>
                <w:b/>
                <w:color w:val="FFFFFF"/>
                <w:kern w:val="0"/>
                <w:sz w:val="18"/>
                <w:szCs w:val="18"/>
                <w14:ligatures w14:val="none"/>
              </w:rPr>
            </w:pPr>
            <w:r w:rsidRPr="000E56F9">
              <w:rPr>
                <w:rFonts w:asciiTheme="minorHAnsi" w:hAnsiTheme="minorHAnsi" w:cstheme="minorHAnsi"/>
                <w:b/>
                <w:color w:val="FFFFFF"/>
                <w:kern w:val="0"/>
                <w:sz w:val="18"/>
                <w:szCs w:val="18"/>
                <w14:ligatures w14:val="none"/>
              </w:rPr>
              <w:t>Check In Activities*</w:t>
            </w:r>
          </w:p>
        </w:tc>
      </w:tr>
      <w:tr w:rsidR="00F16EE1" w:rsidRPr="000E56F9" w14:paraId="44D0A6CB" w14:textId="77777777" w:rsidTr="00A62500">
        <w:trPr>
          <w:trHeight w:val="233"/>
        </w:trPr>
        <w:tc>
          <w:tcPr>
            <w:tcW w:w="9535" w:type="dxa"/>
            <w:gridSpan w:val="3"/>
            <w:shd w:val="clear" w:color="auto" w:fill="E2EFD9" w:themeFill="accent6" w:themeFillTint="33"/>
            <w:vAlign w:val="center"/>
          </w:tcPr>
          <w:p w14:paraId="22C042D5" w14:textId="77777777" w:rsidR="00F16EE1" w:rsidRPr="000E56F9" w:rsidRDefault="00F16EE1" w:rsidP="00F16EE1">
            <w:pPr>
              <w:keepNext/>
              <w:jc w:val="center"/>
              <w:outlineLvl w:val="1"/>
              <w:rPr>
                <w:rFonts w:asciiTheme="minorHAnsi" w:eastAsia="MS Gothic" w:hAnsiTheme="minorHAnsi" w:cstheme="minorHAnsi"/>
                <w:b/>
                <w:color w:val="000000"/>
                <w:kern w:val="0"/>
                <w:sz w:val="18"/>
                <w:szCs w:val="18"/>
                <w:u w:val="single"/>
                <w14:ligatures w14:val="none"/>
              </w:rPr>
            </w:pPr>
            <w:bookmarkStart w:id="15" w:name="_Toc333912261"/>
            <w:bookmarkStart w:id="16" w:name="_Toc155880541"/>
            <w:bookmarkStart w:id="17" w:name="_Toc157060194"/>
            <w:r w:rsidRPr="000E56F9">
              <w:rPr>
                <w:rFonts w:asciiTheme="minorHAnsi" w:eastAsia="MS Gothic" w:hAnsiTheme="minorHAnsi" w:cstheme="minorHAnsi"/>
                <w:b/>
                <w:color w:val="000000"/>
                <w:kern w:val="0"/>
                <w:sz w:val="18"/>
                <w:szCs w:val="18"/>
                <w:u w:val="single"/>
                <w14:ligatures w14:val="none"/>
              </w:rPr>
              <w:t>Implementation</w:t>
            </w:r>
            <w:r w:rsidRPr="000E56F9">
              <w:rPr>
                <w:rFonts w:asciiTheme="minorHAnsi" w:eastAsia="MS Gothic" w:hAnsiTheme="minorHAnsi" w:cstheme="minorHAnsi"/>
                <w:b/>
                <w:color w:val="000000"/>
                <w:kern w:val="0"/>
                <w:sz w:val="18"/>
                <w:szCs w:val="18"/>
                <w14:ligatures w14:val="none"/>
              </w:rPr>
              <w:t xml:space="preserve"> – Program Management Actions and Habitat</w:t>
            </w:r>
            <w:bookmarkEnd w:id="15"/>
            <w:bookmarkEnd w:id="16"/>
            <w:bookmarkEnd w:id="17"/>
          </w:p>
        </w:tc>
      </w:tr>
      <w:tr w:rsidR="00F16EE1" w:rsidRPr="000E56F9" w14:paraId="1DDDB120" w14:textId="77777777" w:rsidTr="00A62500">
        <w:tc>
          <w:tcPr>
            <w:tcW w:w="3775" w:type="dxa"/>
            <w:vAlign w:val="center"/>
          </w:tcPr>
          <w:p w14:paraId="139B832E" w14:textId="77777777" w:rsidR="00F16EE1" w:rsidRPr="000E56F9" w:rsidRDefault="00F16EE1" w:rsidP="00F16EE1">
            <w:pPr>
              <w:numPr>
                <w:ilvl w:val="0"/>
                <w:numId w:val="2"/>
              </w:numPr>
              <w:rPr>
                <w:rFonts w:asciiTheme="minorHAnsi" w:hAnsiTheme="minorHAnsi" w:cstheme="minorHAnsi"/>
                <w:bCs/>
                <w:i/>
                <w:iCs/>
                <w:kern w:val="0"/>
                <w:sz w:val="18"/>
                <w:szCs w:val="18"/>
                <w14:ligatures w14:val="none"/>
              </w:rPr>
            </w:pPr>
            <w:bookmarkStart w:id="18" w:name="_Toc333912262"/>
            <w:r w:rsidRPr="000E56F9">
              <w:rPr>
                <w:rFonts w:asciiTheme="minorHAnsi" w:hAnsiTheme="minorHAnsi" w:cstheme="minorHAnsi"/>
                <w:bCs/>
                <w:i/>
                <w:iCs/>
                <w:kern w:val="0"/>
                <w:sz w:val="18"/>
                <w:szCs w:val="18"/>
                <w14:ligatures w14:val="none"/>
              </w:rPr>
              <w:t>Will implementation of SDHF</w:t>
            </w:r>
            <w:r w:rsidRPr="000E56F9">
              <w:rPr>
                <w:rFonts w:asciiTheme="minorHAnsi" w:hAnsiTheme="minorHAnsi" w:cstheme="minorHAnsi"/>
                <w:bCs/>
                <w:i/>
                <w:iCs/>
                <w:kern w:val="0"/>
                <w:sz w:val="18"/>
                <w:szCs w:val="18"/>
                <w:vertAlign w:val="superscript"/>
                <w14:ligatures w14:val="none"/>
              </w:rPr>
              <w:t xml:space="preserve"> </w:t>
            </w:r>
            <w:r w:rsidRPr="000E56F9">
              <w:rPr>
                <w:rFonts w:asciiTheme="minorHAnsi" w:hAnsiTheme="minorHAnsi" w:cstheme="minorHAnsi"/>
                <w:bCs/>
                <w:i/>
                <w:iCs/>
                <w:kern w:val="0"/>
                <w:sz w:val="18"/>
                <w:szCs w:val="18"/>
                <w14:ligatures w14:val="none"/>
              </w:rPr>
              <w:t xml:space="preserve">produce </w:t>
            </w:r>
            <w:hyperlink w:anchor="suitable_LTPP_onchannel_nesting_habitat" w:history="1">
              <w:r w:rsidRPr="000E56F9">
                <w:rPr>
                  <w:rFonts w:asciiTheme="minorHAnsi" w:hAnsiTheme="minorHAnsi" w:cstheme="minorHAnsi"/>
                  <w:bCs/>
                  <w:i/>
                  <w:iCs/>
                  <w:color w:val="0070C0"/>
                  <w:kern w:val="0"/>
                  <w:sz w:val="18"/>
                  <w:szCs w:val="18"/>
                  <w:u w:val="single"/>
                  <w14:ligatures w14:val="none"/>
                </w:rPr>
                <w:t>suitable</w:t>
              </w:r>
            </w:hyperlink>
            <w:r w:rsidRPr="000E56F9">
              <w:rPr>
                <w:rFonts w:asciiTheme="minorHAnsi" w:hAnsiTheme="minorHAnsi" w:cstheme="minorHAnsi"/>
                <w:bCs/>
                <w:i/>
                <w:iCs/>
                <w:kern w:val="0"/>
                <w:sz w:val="18"/>
                <w:szCs w:val="18"/>
                <w:vertAlign w:val="superscript"/>
                <w14:ligatures w14:val="none"/>
              </w:rPr>
              <w:t xml:space="preserve"> </w:t>
            </w:r>
            <w:r w:rsidRPr="000E56F9">
              <w:rPr>
                <w:rFonts w:asciiTheme="minorHAnsi" w:hAnsiTheme="minorHAnsi" w:cstheme="minorHAnsi"/>
                <w:bCs/>
                <w:i/>
                <w:iCs/>
                <w:kern w:val="0"/>
                <w:sz w:val="18"/>
                <w:szCs w:val="18"/>
                <w14:ligatures w14:val="none"/>
              </w:rPr>
              <w:t>tern and plover riverine nesting habitat on an annual or near-annual basis?</w:t>
            </w:r>
            <w:bookmarkEnd w:id="18"/>
          </w:p>
        </w:tc>
        <w:tc>
          <w:tcPr>
            <w:tcW w:w="1620" w:type="dxa"/>
            <w:vAlign w:val="center"/>
          </w:tcPr>
          <w:p w14:paraId="50042F7C" w14:textId="77777777" w:rsidR="00F16EE1" w:rsidRPr="000E56F9" w:rsidRDefault="00F16EE1"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kern w:val="0"/>
                <w:sz w:val="18"/>
                <w:szCs w:val="18"/>
                <w14:ligatures w14:val="none"/>
              </w:rPr>
              <w:drawing>
                <wp:inline distT="0" distB="0" distL="0" distR="0" wp14:anchorId="2ABB4AEA" wp14:editId="7BDBC64E">
                  <wp:extent cx="295275" cy="295275"/>
                  <wp:effectExtent l="0" t="0" r="9525" b="9525"/>
                  <wp:docPr id="5" name="Graphic 5"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r w:rsidRPr="000E56F9">
              <w:rPr>
                <w:rFonts w:asciiTheme="minorHAnsi" w:hAnsiTheme="minorHAnsi" w:cstheme="minorHAnsi"/>
                <w:noProof/>
                <w:kern w:val="0"/>
                <w:sz w:val="18"/>
                <w:szCs w:val="18"/>
                <w14:ligatures w14:val="none"/>
              </w:rPr>
              <w:drawing>
                <wp:inline distT="0" distB="0" distL="0" distR="0" wp14:anchorId="1D1DDF41" wp14:editId="70EDE9AA">
                  <wp:extent cx="295275" cy="295275"/>
                  <wp:effectExtent l="0" t="0" r="9525" b="9525"/>
                  <wp:docPr id="1027798268" name="Graphic 1027798268"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p>
        </w:tc>
        <w:tc>
          <w:tcPr>
            <w:tcW w:w="4140" w:type="dxa"/>
            <w:vAlign w:val="center"/>
          </w:tcPr>
          <w:p w14:paraId="4B9E9597" w14:textId="77777777" w:rsidR="00F16EE1" w:rsidRPr="000E56F9" w:rsidRDefault="00F16EE1" w:rsidP="00F16EE1">
            <w:pPr>
              <w:rPr>
                <w:rFonts w:asciiTheme="minorHAnsi" w:hAnsiTheme="minorHAnsi" w:cstheme="minorHAnsi"/>
                <w:kern w:val="0"/>
                <w:sz w:val="18"/>
                <w:szCs w:val="18"/>
                <w:vertAlign w:val="superscript"/>
                <w14:ligatures w14:val="none"/>
              </w:rPr>
            </w:pPr>
            <w:r w:rsidRPr="000E56F9">
              <w:rPr>
                <w:rFonts w:asciiTheme="minorHAnsi" w:hAnsiTheme="minorHAnsi" w:cstheme="minorHAnsi"/>
                <w:kern w:val="0"/>
                <w:sz w:val="18"/>
                <w:szCs w:val="18"/>
                <w14:ligatures w14:val="none"/>
              </w:rPr>
              <w:t>On-channel monitoring to detect nesting on natural sandbar habitat following peak flow event(s)</w:t>
            </w:r>
          </w:p>
        </w:tc>
      </w:tr>
      <w:tr w:rsidR="00F16EE1" w:rsidRPr="000E56F9" w14:paraId="12D5A48E" w14:textId="77777777" w:rsidTr="00A62500">
        <w:tc>
          <w:tcPr>
            <w:tcW w:w="3775" w:type="dxa"/>
            <w:vAlign w:val="center"/>
          </w:tcPr>
          <w:p w14:paraId="5CE0E859"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19" w:name="_Toc333912264"/>
            <w:bookmarkStart w:id="20" w:name="_Toc155880542"/>
            <w:bookmarkStart w:id="21" w:name="_Toc157060195"/>
            <w:r w:rsidRPr="000E56F9">
              <w:rPr>
                <w:rFonts w:asciiTheme="minorHAnsi" w:eastAsia="Tw Cen MT" w:hAnsiTheme="minorHAnsi" w:cstheme="minorHAnsi"/>
                <w:bCs/>
                <w:i/>
                <w:iCs/>
                <w:kern w:val="0"/>
                <w:sz w:val="18"/>
                <w:szCs w:val="18"/>
                <w:lang w:eastAsia="ja-JP"/>
                <w14:ligatures w14:val="none"/>
              </w:rPr>
              <w:t xml:space="preserve">Will implementation of SDHF produce and/or maintain </w:t>
            </w:r>
            <w:hyperlink w:anchor="suitable_WC_roosting_habitat" w:history="1">
              <w:r w:rsidRPr="000E56F9">
                <w:rPr>
                  <w:rFonts w:asciiTheme="minorHAnsi" w:eastAsia="Tw Cen MT" w:hAnsiTheme="minorHAnsi" w:cstheme="minorHAnsi"/>
                  <w:bCs/>
                  <w:i/>
                  <w:iCs/>
                  <w:color w:val="0070C0"/>
                  <w:kern w:val="0"/>
                  <w:sz w:val="18"/>
                  <w:szCs w:val="18"/>
                  <w:u w:val="single"/>
                  <w:lang w:eastAsia="ja-JP"/>
                  <w14:ligatures w14:val="none"/>
                </w:rPr>
                <w:t>suitable</w:t>
              </w:r>
            </w:hyperlink>
            <w:r w:rsidRPr="000E56F9">
              <w:rPr>
                <w:rFonts w:asciiTheme="minorHAnsi" w:eastAsia="Tw Cen MT" w:hAnsiTheme="minorHAnsi" w:cstheme="minorHAnsi"/>
                <w:bCs/>
                <w:i/>
                <w:iCs/>
                <w:kern w:val="0"/>
                <w:sz w:val="18"/>
                <w:szCs w:val="18"/>
                <w:lang w:eastAsia="ja-JP"/>
                <w14:ligatures w14:val="none"/>
              </w:rPr>
              <w:t xml:space="preserve"> whooping crane riverine roosting habitat on an annual or near-annual basis?</w:t>
            </w:r>
            <w:bookmarkEnd w:id="19"/>
            <w:bookmarkEnd w:id="20"/>
            <w:bookmarkEnd w:id="21"/>
          </w:p>
        </w:tc>
        <w:tc>
          <w:tcPr>
            <w:tcW w:w="1620" w:type="dxa"/>
            <w:vAlign w:val="center"/>
          </w:tcPr>
          <w:p w14:paraId="3B3E825D" w14:textId="77777777" w:rsidR="00F16EE1" w:rsidRPr="000E56F9" w:rsidRDefault="00F16EE1"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kern w:val="0"/>
                <w:sz w:val="18"/>
                <w:szCs w:val="18"/>
                <w14:ligatures w14:val="none"/>
              </w:rPr>
              <w:drawing>
                <wp:inline distT="0" distB="0" distL="0" distR="0" wp14:anchorId="12FA5DAF" wp14:editId="1F26B1E0">
                  <wp:extent cx="295275" cy="295275"/>
                  <wp:effectExtent l="0" t="0" r="9525" b="9525"/>
                  <wp:docPr id="6" name="Graphic 6"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r w:rsidRPr="000E56F9">
              <w:rPr>
                <w:rFonts w:asciiTheme="minorHAnsi" w:hAnsiTheme="minorHAnsi" w:cstheme="minorHAnsi"/>
                <w:noProof/>
                <w:kern w:val="0"/>
                <w:sz w:val="18"/>
                <w:szCs w:val="18"/>
                <w14:ligatures w14:val="none"/>
              </w:rPr>
              <w:drawing>
                <wp:inline distT="0" distB="0" distL="0" distR="0" wp14:anchorId="61E18845" wp14:editId="59EFCF1E">
                  <wp:extent cx="295275" cy="295275"/>
                  <wp:effectExtent l="0" t="0" r="9525" b="9525"/>
                  <wp:docPr id="7" name="Graphic 7"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p>
        </w:tc>
        <w:tc>
          <w:tcPr>
            <w:tcW w:w="4140" w:type="dxa"/>
            <w:vAlign w:val="center"/>
          </w:tcPr>
          <w:p w14:paraId="681BF011" w14:textId="77777777"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Relationship between flow and whooping crane habitat is an Extension focus – will be addressed directly.</w:t>
            </w:r>
          </w:p>
        </w:tc>
      </w:tr>
      <w:tr w:rsidR="00F16EE1" w:rsidRPr="000E56F9" w14:paraId="1872998D" w14:textId="77777777" w:rsidTr="00A62500">
        <w:tc>
          <w:tcPr>
            <w:tcW w:w="3775" w:type="dxa"/>
            <w:vAlign w:val="center"/>
          </w:tcPr>
          <w:p w14:paraId="2916900A"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22" w:name="_Toc333912266"/>
            <w:bookmarkStart w:id="23" w:name="_Toc155880543"/>
            <w:bookmarkStart w:id="24" w:name="_Toc157060196"/>
            <w:r w:rsidRPr="000E56F9">
              <w:rPr>
                <w:rFonts w:asciiTheme="minorHAnsi" w:eastAsia="Tw Cen MT" w:hAnsiTheme="minorHAnsi" w:cstheme="minorHAnsi"/>
                <w:bCs/>
                <w:i/>
                <w:iCs/>
                <w:kern w:val="0"/>
                <w:sz w:val="18"/>
                <w:szCs w:val="18"/>
                <w:lang w:eastAsia="ja-JP"/>
                <w14:ligatures w14:val="none"/>
              </w:rPr>
              <w:t>Is sediment augmentation necessary for the creation and/or maintenance of suitable riverine tern, plover, and whooping crane habitat?</w:t>
            </w:r>
            <w:bookmarkEnd w:id="22"/>
            <w:bookmarkEnd w:id="23"/>
            <w:bookmarkEnd w:id="24"/>
          </w:p>
        </w:tc>
        <w:tc>
          <w:tcPr>
            <w:tcW w:w="1620" w:type="dxa"/>
            <w:vAlign w:val="center"/>
          </w:tcPr>
          <w:p w14:paraId="61A088CD" w14:textId="6B113875" w:rsidR="00F16EE1" w:rsidRPr="000E56F9" w:rsidRDefault="00105E66"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sz w:val="18"/>
                <w:szCs w:val="18"/>
              </w:rPr>
              <w:drawing>
                <wp:inline distT="0" distB="0" distL="0" distR="0" wp14:anchorId="0EAFDCAA" wp14:editId="0BB1187D">
                  <wp:extent cx="270933" cy="270933"/>
                  <wp:effectExtent l="0" t="0" r="0" b="0"/>
                  <wp:docPr id="2020852158" name="Graphic 2020852158"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p>
        </w:tc>
        <w:tc>
          <w:tcPr>
            <w:tcW w:w="4140" w:type="dxa"/>
            <w:vAlign w:val="center"/>
          </w:tcPr>
          <w:p w14:paraId="66AD1103" w14:textId="77777777"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Big Question carried forward into Extension – will be addressed directly.</w:t>
            </w:r>
          </w:p>
        </w:tc>
      </w:tr>
      <w:tr w:rsidR="00F16EE1" w:rsidRPr="000E56F9" w14:paraId="16BE81AB" w14:textId="77777777" w:rsidTr="00A62500">
        <w:tc>
          <w:tcPr>
            <w:tcW w:w="3775" w:type="dxa"/>
            <w:vAlign w:val="center"/>
          </w:tcPr>
          <w:p w14:paraId="7F797A8E"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25" w:name="_Toc155880544"/>
            <w:bookmarkStart w:id="26" w:name="_Toc157060197"/>
            <w:r w:rsidRPr="000E56F9">
              <w:rPr>
                <w:rFonts w:asciiTheme="minorHAnsi" w:eastAsia="Tw Cen MT" w:hAnsiTheme="minorHAnsi" w:cstheme="minorHAnsi"/>
                <w:bCs/>
                <w:i/>
                <w:iCs/>
                <w:kern w:val="0"/>
                <w:sz w:val="18"/>
                <w:szCs w:val="18"/>
                <w:lang w:eastAsia="ja-JP"/>
                <w14:ligatures w14:val="none"/>
              </w:rPr>
              <w:t>Are mechanical channel alterations (channel widening and flow consolidation) necessary for the creation and/or maintenance of suitable riverine tern, plover, and whooping crane habitat?</w:t>
            </w:r>
            <w:bookmarkEnd w:id="25"/>
            <w:bookmarkEnd w:id="26"/>
          </w:p>
        </w:tc>
        <w:tc>
          <w:tcPr>
            <w:tcW w:w="1620" w:type="dxa"/>
            <w:vAlign w:val="center"/>
          </w:tcPr>
          <w:p w14:paraId="725F8C99" w14:textId="072C9B62" w:rsidR="00F16EE1" w:rsidRPr="000E56F9" w:rsidRDefault="00105E66"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sz w:val="18"/>
                <w:szCs w:val="18"/>
              </w:rPr>
              <w:drawing>
                <wp:inline distT="0" distB="0" distL="0" distR="0" wp14:anchorId="0130F2DA" wp14:editId="4DE1411A">
                  <wp:extent cx="270933" cy="270933"/>
                  <wp:effectExtent l="0" t="0" r="0" b="0"/>
                  <wp:docPr id="760922661" name="Graphic 760922661"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r w:rsidRPr="000E56F9">
              <w:rPr>
                <w:rFonts w:asciiTheme="minorHAnsi" w:hAnsiTheme="minorHAnsi" w:cstheme="minorHAnsi"/>
                <w:noProof/>
                <w:sz w:val="18"/>
                <w:szCs w:val="18"/>
              </w:rPr>
              <w:drawing>
                <wp:inline distT="0" distB="0" distL="0" distR="0" wp14:anchorId="5551ACD5" wp14:editId="396043FE">
                  <wp:extent cx="270933" cy="270933"/>
                  <wp:effectExtent l="0" t="0" r="0" b="0"/>
                  <wp:docPr id="31651682" name="Graphic 31651682"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p>
        </w:tc>
        <w:tc>
          <w:tcPr>
            <w:tcW w:w="4140" w:type="dxa"/>
            <w:vAlign w:val="center"/>
          </w:tcPr>
          <w:p w14:paraId="56A1C2E4" w14:textId="77777777"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Relationship between mechanical management actions and whooping crane habitat is an Extension focus – will be addressed directly.</w:t>
            </w:r>
          </w:p>
        </w:tc>
      </w:tr>
      <w:tr w:rsidR="00F16EE1" w:rsidRPr="000E56F9" w14:paraId="687FCBC3" w14:textId="77777777" w:rsidTr="00A62500">
        <w:trPr>
          <w:trHeight w:val="233"/>
        </w:trPr>
        <w:tc>
          <w:tcPr>
            <w:tcW w:w="9535" w:type="dxa"/>
            <w:gridSpan w:val="3"/>
            <w:shd w:val="clear" w:color="auto" w:fill="DEEAF6" w:themeFill="accent5" w:themeFillTint="33"/>
            <w:vAlign w:val="center"/>
          </w:tcPr>
          <w:p w14:paraId="2581329F" w14:textId="77777777" w:rsidR="00F16EE1" w:rsidRPr="000E56F9" w:rsidRDefault="00F16EE1" w:rsidP="00F16EE1">
            <w:pPr>
              <w:keepNext/>
              <w:jc w:val="center"/>
              <w:outlineLvl w:val="1"/>
              <w:rPr>
                <w:rFonts w:asciiTheme="minorHAnsi" w:eastAsia="MS Gothic" w:hAnsiTheme="minorHAnsi" w:cstheme="minorHAnsi"/>
                <w:b/>
                <w:color w:val="000000"/>
                <w:kern w:val="0"/>
                <w:sz w:val="18"/>
                <w:szCs w:val="18"/>
                <w:u w:val="single"/>
                <w14:ligatures w14:val="none"/>
              </w:rPr>
            </w:pPr>
            <w:bookmarkStart w:id="27" w:name="_Toc333912270"/>
            <w:bookmarkStart w:id="28" w:name="_Toc155880545"/>
            <w:bookmarkStart w:id="29" w:name="_Toc157060198"/>
            <w:r w:rsidRPr="000E56F9">
              <w:rPr>
                <w:rFonts w:asciiTheme="minorHAnsi" w:eastAsia="MS Gothic" w:hAnsiTheme="minorHAnsi" w:cstheme="minorHAnsi"/>
                <w:b/>
                <w:color w:val="000000"/>
                <w:kern w:val="0"/>
                <w:sz w:val="18"/>
                <w:szCs w:val="18"/>
                <w:u w:val="single"/>
                <w14:ligatures w14:val="none"/>
              </w:rPr>
              <w:t>Effectiveness</w:t>
            </w:r>
            <w:r w:rsidRPr="000E56F9">
              <w:rPr>
                <w:rFonts w:asciiTheme="minorHAnsi" w:eastAsia="MS Gothic" w:hAnsiTheme="minorHAnsi" w:cstheme="minorHAnsi"/>
                <w:b/>
                <w:color w:val="000000"/>
                <w:kern w:val="0"/>
                <w:sz w:val="18"/>
                <w:szCs w:val="18"/>
                <w14:ligatures w14:val="none"/>
              </w:rPr>
              <w:t xml:space="preserve"> – Habitat and Target Species Response</w:t>
            </w:r>
            <w:bookmarkEnd w:id="27"/>
            <w:bookmarkEnd w:id="28"/>
            <w:bookmarkEnd w:id="29"/>
          </w:p>
        </w:tc>
      </w:tr>
      <w:tr w:rsidR="00F16EE1" w:rsidRPr="000E56F9" w14:paraId="796D5D1F" w14:textId="77777777" w:rsidTr="00A62500">
        <w:tc>
          <w:tcPr>
            <w:tcW w:w="3775" w:type="dxa"/>
            <w:vAlign w:val="center"/>
          </w:tcPr>
          <w:p w14:paraId="09B8D50E"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30" w:name="_Toc333912271"/>
            <w:bookmarkStart w:id="31" w:name="_Toc155880546"/>
            <w:bookmarkStart w:id="32" w:name="_Toc157060199"/>
            <w:r w:rsidRPr="000E56F9">
              <w:rPr>
                <w:rFonts w:asciiTheme="minorHAnsi" w:eastAsia="Tw Cen MT" w:hAnsiTheme="minorHAnsi" w:cstheme="minorHAnsi"/>
                <w:bCs/>
                <w:i/>
                <w:iCs/>
                <w:kern w:val="0"/>
                <w:sz w:val="18"/>
                <w:szCs w:val="18"/>
                <w:lang w:eastAsia="ja-JP"/>
                <w14:ligatures w14:val="none"/>
              </w:rPr>
              <w:t>Do whooping cranes select suitable riverine roosting habitat in proportions equal to its availability?</w:t>
            </w:r>
            <w:bookmarkEnd w:id="30"/>
            <w:bookmarkEnd w:id="31"/>
            <w:bookmarkEnd w:id="32"/>
          </w:p>
        </w:tc>
        <w:tc>
          <w:tcPr>
            <w:tcW w:w="1620" w:type="dxa"/>
            <w:vAlign w:val="center"/>
          </w:tcPr>
          <w:p w14:paraId="12D22C11" w14:textId="77777777" w:rsidR="00F16EE1" w:rsidRPr="000E56F9" w:rsidRDefault="00F16EE1"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kern w:val="0"/>
                <w:sz w:val="18"/>
                <w:szCs w:val="18"/>
                <w14:ligatures w14:val="none"/>
              </w:rPr>
              <w:drawing>
                <wp:inline distT="0" distB="0" distL="0" distR="0" wp14:anchorId="5D954921" wp14:editId="1406C3E0">
                  <wp:extent cx="295275" cy="295275"/>
                  <wp:effectExtent l="0" t="0" r="9525" b="9525"/>
                  <wp:docPr id="10" name="Graphic 10"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r w:rsidRPr="000E56F9">
              <w:rPr>
                <w:rFonts w:asciiTheme="minorHAnsi" w:hAnsiTheme="minorHAnsi" w:cstheme="minorHAnsi"/>
                <w:noProof/>
                <w:kern w:val="0"/>
                <w:sz w:val="18"/>
                <w:szCs w:val="18"/>
                <w14:ligatures w14:val="none"/>
              </w:rPr>
              <w:drawing>
                <wp:inline distT="0" distB="0" distL="0" distR="0" wp14:anchorId="40645E35" wp14:editId="209C2F12">
                  <wp:extent cx="295275" cy="295275"/>
                  <wp:effectExtent l="0" t="0" r="9525" b="9525"/>
                  <wp:docPr id="61" name="Graphic 61"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p>
        </w:tc>
        <w:tc>
          <w:tcPr>
            <w:tcW w:w="4140" w:type="dxa"/>
            <w:vAlign w:val="center"/>
          </w:tcPr>
          <w:p w14:paraId="23F14193" w14:textId="4B297F2A"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System-scale whooping crane monitoring. Whooping crane habitat selection analysis will be rerun on a five-year interval to identify changes in selection</w:t>
            </w:r>
            <w:r w:rsidR="00032AFE">
              <w:rPr>
                <w:rFonts w:asciiTheme="minorHAnsi" w:hAnsiTheme="minorHAnsi" w:cstheme="minorHAnsi"/>
                <w:kern w:val="0"/>
                <w:sz w:val="18"/>
                <w:szCs w:val="18"/>
                <w14:ligatures w14:val="none"/>
              </w:rPr>
              <w:t>.</w:t>
            </w:r>
          </w:p>
        </w:tc>
      </w:tr>
      <w:tr w:rsidR="00F16EE1" w:rsidRPr="000E56F9" w14:paraId="15925818" w14:textId="77777777" w:rsidTr="00A62500">
        <w:trPr>
          <w:trHeight w:val="683"/>
        </w:trPr>
        <w:tc>
          <w:tcPr>
            <w:tcW w:w="3775" w:type="dxa"/>
            <w:vAlign w:val="center"/>
          </w:tcPr>
          <w:p w14:paraId="739A5B5B"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33" w:name="_Toc333912274"/>
            <w:bookmarkStart w:id="34" w:name="_Toc155880547"/>
            <w:bookmarkStart w:id="35" w:name="_Toc157060200"/>
            <w:r w:rsidRPr="000E56F9">
              <w:rPr>
                <w:rFonts w:asciiTheme="minorHAnsi" w:eastAsia="Tw Cen MT" w:hAnsiTheme="minorHAnsi" w:cstheme="minorHAnsi"/>
                <w:bCs/>
                <w:i/>
                <w:iCs/>
                <w:kern w:val="0"/>
                <w:sz w:val="18"/>
                <w:szCs w:val="18"/>
                <w:lang w:eastAsia="ja-JP"/>
                <w14:ligatures w14:val="none"/>
              </w:rPr>
              <w:t>Does availability of suitable nesting habitat limit tern and plover use and reproductive success on the central Platte River?</w:t>
            </w:r>
            <w:bookmarkEnd w:id="33"/>
            <w:bookmarkEnd w:id="34"/>
            <w:bookmarkEnd w:id="35"/>
          </w:p>
        </w:tc>
        <w:tc>
          <w:tcPr>
            <w:tcW w:w="1620" w:type="dxa"/>
            <w:vAlign w:val="center"/>
          </w:tcPr>
          <w:p w14:paraId="03AF9DE2" w14:textId="56D71B37" w:rsidR="00F16EE1" w:rsidRPr="000E56F9" w:rsidRDefault="00105E66"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sz w:val="18"/>
                <w:szCs w:val="18"/>
              </w:rPr>
              <w:drawing>
                <wp:inline distT="0" distB="0" distL="0" distR="0" wp14:anchorId="153C034C" wp14:editId="3A5726D1">
                  <wp:extent cx="270933" cy="270933"/>
                  <wp:effectExtent l="0" t="0" r="0" b="0"/>
                  <wp:docPr id="873800836" name="Graphic 873800836"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r w:rsidRPr="000E56F9">
              <w:rPr>
                <w:rFonts w:asciiTheme="minorHAnsi" w:hAnsiTheme="minorHAnsi" w:cstheme="minorHAnsi"/>
                <w:noProof/>
                <w:sz w:val="18"/>
                <w:szCs w:val="18"/>
              </w:rPr>
              <w:drawing>
                <wp:inline distT="0" distB="0" distL="0" distR="0" wp14:anchorId="1FC99C66" wp14:editId="1481BFD6">
                  <wp:extent cx="270933" cy="270933"/>
                  <wp:effectExtent l="0" t="0" r="0" b="0"/>
                  <wp:docPr id="12515907" name="Graphic 12515907"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p>
        </w:tc>
        <w:tc>
          <w:tcPr>
            <w:tcW w:w="4140" w:type="dxa"/>
            <w:vAlign w:val="center"/>
          </w:tcPr>
          <w:p w14:paraId="0348A944" w14:textId="77777777"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Monitoring of piping plover breeding pairs and fledges in relation to habitat availability.</w:t>
            </w:r>
          </w:p>
        </w:tc>
      </w:tr>
      <w:tr w:rsidR="00F16EE1" w:rsidRPr="000E56F9" w14:paraId="0A6BF645" w14:textId="77777777" w:rsidTr="00A62500">
        <w:tc>
          <w:tcPr>
            <w:tcW w:w="3775" w:type="dxa"/>
            <w:vAlign w:val="center"/>
          </w:tcPr>
          <w:p w14:paraId="2A4A41A7"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36" w:name="_Toc333912276"/>
            <w:bookmarkStart w:id="37" w:name="_Toc155880548"/>
            <w:bookmarkStart w:id="38" w:name="_Toc157060201"/>
            <w:r w:rsidRPr="000E56F9">
              <w:rPr>
                <w:rFonts w:asciiTheme="minorHAnsi" w:eastAsia="Tw Cen MT" w:hAnsiTheme="minorHAnsi" w:cstheme="minorHAnsi"/>
                <w:bCs/>
                <w:i/>
                <w:iCs/>
                <w:kern w:val="0"/>
                <w:sz w:val="18"/>
                <w:szCs w:val="18"/>
                <w:lang w:eastAsia="ja-JP"/>
                <w14:ligatures w14:val="none"/>
              </w:rPr>
              <w:t xml:space="preserve">Are both </w:t>
            </w:r>
            <w:hyperlink w:anchor="suitable_LTPP_onchannel_nesting_habitat" w:history="1">
              <w:r w:rsidRPr="000E56F9">
                <w:rPr>
                  <w:rFonts w:asciiTheme="minorHAnsi" w:eastAsia="Tw Cen MT" w:hAnsiTheme="minorHAnsi" w:cstheme="minorHAnsi"/>
                  <w:bCs/>
                  <w:i/>
                  <w:iCs/>
                  <w:color w:val="0070C0"/>
                  <w:kern w:val="0"/>
                  <w:sz w:val="18"/>
                  <w:szCs w:val="18"/>
                  <w:u w:val="single"/>
                  <w:lang w:eastAsia="ja-JP"/>
                  <w14:ligatures w14:val="none"/>
                </w:rPr>
                <w:t>suitable in-channel</w:t>
              </w:r>
            </w:hyperlink>
            <w:r w:rsidRPr="000E56F9">
              <w:rPr>
                <w:rFonts w:asciiTheme="minorHAnsi" w:eastAsia="Tw Cen MT" w:hAnsiTheme="minorHAnsi" w:cstheme="minorHAnsi"/>
                <w:bCs/>
                <w:i/>
                <w:iCs/>
                <w:kern w:val="0"/>
                <w:sz w:val="18"/>
                <w:szCs w:val="18"/>
                <w:lang w:eastAsia="ja-JP"/>
                <w14:ligatures w14:val="none"/>
              </w:rPr>
              <w:t xml:space="preserve"> and </w:t>
            </w:r>
            <w:hyperlink w:anchor="suitable_LTPP_OCSW_nesting_habitat" w:history="1">
              <w:r w:rsidRPr="000E56F9">
                <w:rPr>
                  <w:rFonts w:asciiTheme="minorHAnsi" w:eastAsia="Tw Cen MT" w:hAnsiTheme="minorHAnsi" w:cstheme="minorHAnsi"/>
                  <w:bCs/>
                  <w:i/>
                  <w:iCs/>
                  <w:color w:val="0070C0"/>
                  <w:kern w:val="0"/>
                  <w:sz w:val="18"/>
                  <w:szCs w:val="18"/>
                  <w:u w:val="single"/>
                  <w:lang w:eastAsia="ja-JP"/>
                  <w14:ligatures w14:val="none"/>
                </w:rPr>
                <w:t>off-channel nesting habitats</w:t>
              </w:r>
            </w:hyperlink>
            <w:r w:rsidRPr="000E56F9">
              <w:rPr>
                <w:rFonts w:asciiTheme="minorHAnsi" w:eastAsia="Tw Cen MT" w:hAnsiTheme="minorHAnsi" w:cstheme="minorHAnsi"/>
                <w:bCs/>
                <w:i/>
                <w:iCs/>
                <w:kern w:val="0"/>
                <w:sz w:val="18"/>
                <w:szCs w:val="18"/>
                <w:lang w:eastAsia="ja-JP"/>
                <w14:ligatures w14:val="none"/>
              </w:rPr>
              <w:t xml:space="preserve"> required to maintain central Platte River tern and plover populations</w:t>
            </w:r>
            <w:bookmarkEnd w:id="36"/>
            <w:r w:rsidRPr="000E56F9">
              <w:rPr>
                <w:rFonts w:asciiTheme="minorHAnsi" w:eastAsia="Tw Cen MT" w:hAnsiTheme="minorHAnsi" w:cstheme="minorHAnsi"/>
                <w:bCs/>
                <w:i/>
                <w:iCs/>
                <w:kern w:val="0"/>
                <w:sz w:val="18"/>
                <w:szCs w:val="18"/>
                <w:lang w:eastAsia="ja-JP"/>
                <w14:ligatures w14:val="none"/>
              </w:rPr>
              <w:t>?</w:t>
            </w:r>
            <w:bookmarkEnd w:id="37"/>
            <w:bookmarkEnd w:id="38"/>
          </w:p>
        </w:tc>
        <w:tc>
          <w:tcPr>
            <w:tcW w:w="1620" w:type="dxa"/>
            <w:vAlign w:val="center"/>
          </w:tcPr>
          <w:p w14:paraId="7DC55F3C" w14:textId="77777777" w:rsidR="00F16EE1" w:rsidRPr="000E56F9" w:rsidRDefault="00F16EE1"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kern w:val="0"/>
                <w:sz w:val="18"/>
                <w:szCs w:val="18"/>
                <w14:ligatures w14:val="none"/>
              </w:rPr>
              <w:drawing>
                <wp:inline distT="0" distB="0" distL="0" distR="0" wp14:anchorId="65F1A7BA" wp14:editId="2B4123D3">
                  <wp:extent cx="295275" cy="295275"/>
                  <wp:effectExtent l="0" t="0" r="9525" b="9525"/>
                  <wp:docPr id="62" name="Graphic 62"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r w:rsidRPr="000E56F9">
              <w:rPr>
                <w:rFonts w:asciiTheme="minorHAnsi" w:hAnsiTheme="minorHAnsi" w:cstheme="minorHAnsi"/>
                <w:noProof/>
                <w:kern w:val="0"/>
                <w:sz w:val="18"/>
                <w:szCs w:val="18"/>
                <w14:ligatures w14:val="none"/>
              </w:rPr>
              <w:drawing>
                <wp:inline distT="0" distB="0" distL="0" distR="0" wp14:anchorId="1233ACFF" wp14:editId="381564A6">
                  <wp:extent cx="295275" cy="295275"/>
                  <wp:effectExtent l="0" t="0" r="9525" b="9525"/>
                  <wp:docPr id="63" name="Graphic 63"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p>
        </w:tc>
        <w:tc>
          <w:tcPr>
            <w:tcW w:w="4140" w:type="dxa"/>
            <w:vAlign w:val="center"/>
          </w:tcPr>
          <w:p w14:paraId="17E36A26" w14:textId="77777777"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Monitoring of piping plover nesting locations to detect an increase in on-channel nesting with corresponding decrease in off-channel nesting.</w:t>
            </w:r>
          </w:p>
        </w:tc>
      </w:tr>
      <w:tr w:rsidR="00F16EE1" w:rsidRPr="000E56F9" w14:paraId="07253A27" w14:textId="77777777" w:rsidTr="00A62500">
        <w:trPr>
          <w:trHeight w:val="800"/>
        </w:trPr>
        <w:tc>
          <w:tcPr>
            <w:tcW w:w="3775" w:type="dxa"/>
            <w:vAlign w:val="center"/>
          </w:tcPr>
          <w:p w14:paraId="6AD36CF6"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39" w:name="_Toc155880549"/>
            <w:bookmarkStart w:id="40" w:name="_Toc157060202"/>
            <w:r w:rsidRPr="000E56F9">
              <w:rPr>
                <w:rFonts w:asciiTheme="minorHAnsi" w:eastAsia="Tw Cen MT" w:hAnsiTheme="minorHAnsi" w:cstheme="minorHAnsi"/>
                <w:bCs/>
                <w:i/>
                <w:iCs/>
                <w:kern w:val="0"/>
                <w:sz w:val="18"/>
                <w:szCs w:val="18"/>
                <w:lang w:eastAsia="ja-JP"/>
                <w14:ligatures w14:val="none"/>
              </w:rPr>
              <w:t>Does forage availability limit tern and plover productivity on the central Platte River?</w:t>
            </w:r>
            <w:bookmarkEnd w:id="39"/>
            <w:bookmarkEnd w:id="40"/>
          </w:p>
        </w:tc>
        <w:tc>
          <w:tcPr>
            <w:tcW w:w="1620" w:type="dxa"/>
            <w:vAlign w:val="center"/>
          </w:tcPr>
          <w:p w14:paraId="4C08068A" w14:textId="77777777" w:rsidR="00F16EE1" w:rsidRPr="000E56F9" w:rsidRDefault="00F16EE1"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kern w:val="0"/>
                <w:sz w:val="18"/>
                <w:szCs w:val="18"/>
                <w14:ligatures w14:val="none"/>
              </w:rPr>
              <w:drawing>
                <wp:inline distT="0" distB="0" distL="0" distR="0" wp14:anchorId="53D6C14C" wp14:editId="295BB085">
                  <wp:extent cx="295275" cy="295275"/>
                  <wp:effectExtent l="0" t="0" r="9525" b="9525"/>
                  <wp:docPr id="64" name="Graphic 64"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r w:rsidRPr="000E56F9">
              <w:rPr>
                <w:rFonts w:asciiTheme="minorHAnsi" w:hAnsiTheme="minorHAnsi" w:cstheme="minorHAnsi"/>
                <w:noProof/>
                <w:kern w:val="0"/>
                <w:sz w:val="18"/>
                <w:szCs w:val="18"/>
                <w14:ligatures w14:val="none"/>
              </w:rPr>
              <w:drawing>
                <wp:inline distT="0" distB="0" distL="0" distR="0" wp14:anchorId="6EA11694" wp14:editId="1FE2BCC8">
                  <wp:extent cx="295275" cy="295275"/>
                  <wp:effectExtent l="0" t="0" r="9525" b="9525"/>
                  <wp:docPr id="65" name="Graphic 65"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Thumbs Down with solid fill"/>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95275" cy="295275"/>
                          </a:xfrm>
                          <a:prstGeom prst="rect">
                            <a:avLst/>
                          </a:prstGeom>
                        </pic:spPr>
                      </pic:pic>
                    </a:graphicData>
                  </a:graphic>
                </wp:inline>
              </w:drawing>
            </w:r>
          </w:p>
        </w:tc>
        <w:tc>
          <w:tcPr>
            <w:tcW w:w="4140" w:type="dxa"/>
            <w:vAlign w:val="center"/>
          </w:tcPr>
          <w:p w14:paraId="6AEFA8A2" w14:textId="77777777"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Monitoring to detect emaciated adults/chicks and/or drop in productivity (fledging) that is not attributable to weather or predation.</w:t>
            </w:r>
          </w:p>
        </w:tc>
      </w:tr>
      <w:tr w:rsidR="00F16EE1" w:rsidRPr="000E56F9" w14:paraId="780DC32D" w14:textId="77777777" w:rsidTr="00A62500">
        <w:tc>
          <w:tcPr>
            <w:tcW w:w="3775" w:type="dxa"/>
            <w:vAlign w:val="center"/>
          </w:tcPr>
          <w:p w14:paraId="3A34A1D7" w14:textId="77777777" w:rsidR="00F16EE1" w:rsidRPr="000E56F9" w:rsidRDefault="00F16EE1" w:rsidP="00F16EE1">
            <w:pPr>
              <w:keepNext/>
              <w:numPr>
                <w:ilvl w:val="0"/>
                <w:numId w:val="2"/>
              </w:numPr>
              <w:outlineLvl w:val="1"/>
              <w:rPr>
                <w:rFonts w:asciiTheme="minorHAnsi" w:eastAsia="Tw Cen MT" w:hAnsiTheme="minorHAnsi" w:cstheme="minorHAnsi"/>
                <w:bCs/>
                <w:i/>
                <w:iCs/>
                <w:kern w:val="0"/>
                <w:sz w:val="18"/>
                <w:szCs w:val="18"/>
                <w:lang w:eastAsia="ja-JP"/>
                <w14:ligatures w14:val="none"/>
              </w:rPr>
            </w:pPr>
            <w:bookmarkStart w:id="41" w:name="_Toc333912280"/>
            <w:bookmarkStart w:id="42" w:name="_Toc155880550"/>
            <w:bookmarkStart w:id="43" w:name="_Toc157060203"/>
            <w:r w:rsidRPr="000E56F9">
              <w:rPr>
                <w:rFonts w:asciiTheme="minorHAnsi" w:eastAsia="Tw Cen MT" w:hAnsiTheme="minorHAnsi" w:cstheme="minorHAnsi"/>
                <w:bCs/>
                <w:i/>
                <w:iCs/>
                <w:kern w:val="0"/>
                <w:sz w:val="18"/>
                <w:szCs w:val="18"/>
                <w:lang w:eastAsia="ja-JP"/>
                <w14:ligatures w14:val="none"/>
              </w:rPr>
              <w:t>Do Program flow management actions in the central Platte River avoid adverse impacts to pallid sturgeon in the lower Platte River?</w:t>
            </w:r>
            <w:bookmarkEnd w:id="41"/>
            <w:bookmarkEnd w:id="42"/>
            <w:bookmarkEnd w:id="43"/>
          </w:p>
        </w:tc>
        <w:tc>
          <w:tcPr>
            <w:tcW w:w="1620" w:type="dxa"/>
            <w:vAlign w:val="center"/>
          </w:tcPr>
          <w:p w14:paraId="10318D60" w14:textId="6B8E603E" w:rsidR="00F16EE1" w:rsidRPr="000E56F9" w:rsidRDefault="00FA743B" w:rsidP="00F16EE1">
            <w:pPr>
              <w:jc w:val="center"/>
              <w:rPr>
                <w:rFonts w:asciiTheme="minorHAnsi" w:hAnsiTheme="minorHAnsi" w:cstheme="minorHAnsi"/>
                <w:kern w:val="0"/>
                <w:sz w:val="18"/>
                <w:szCs w:val="18"/>
                <w14:ligatures w14:val="none"/>
              </w:rPr>
            </w:pPr>
            <w:r w:rsidRPr="000E56F9">
              <w:rPr>
                <w:rFonts w:asciiTheme="minorHAnsi" w:hAnsiTheme="minorHAnsi" w:cstheme="minorHAnsi"/>
                <w:noProof/>
                <w:sz w:val="18"/>
                <w:szCs w:val="18"/>
              </w:rPr>
              <w:drawing>
                <wp:inline distT="0" distB="0" distL="0" distR="0" wp14:anchorId="500F2C39" wp14:editId="19F76290">
                  <wp:extent cx="208016" cy="208016"/>
                  <wp:effectExtent l="0" t="0" r="0" b="1905"/>
                  <wp:docPr id="2026887538" name="Picture 16"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208016" cy="208016"/>
                          </a:xfrm>
                          <a:prstGeom prst="rect">
                            <a:avLst/>
                          </a:prstGeom>
                        </pic:spPr>
                      </pic:pic>
                    </a:graphicData>
                  </a:graphic>
                </wp:inline>
              </w:drawing>
            </w:r>
          </w:p>
        </w:tc>
        <w:tc>
          <w:tcPr>
            <w:tcW w:w="4140" w:type="dxa"/>
            <w:vAlign w:val="center"/>
          </w:tcPr>
          <w:p w14:paraId="58094E4D" w14:textId="548ABAD8" w:rsidR="00F16EE1" w:rsidRPr="000E56F9" w:rsidRDefault="00F16EE1" w:rsidP="00F16EE1">
            <w:pPr>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Pallid sturgeon questions will be directly addressed during the Extension as part of genetics and habitat research projects.</w:t>
            </w:r>
          </w:p>
        </w:tc>
      </w:tr>
      <w:tr w:rsidR="00F16EE1" w:rsidRPr="000E56F9" w14:paraId="7D71011D" w14:textId="77777777" w:rsidTr="00A62500">
        <w:trPr>
          <w:trHeight w:val="1601"/>
        </w:trPr>
        <w:tc>
          <w:tcPr>
            <w:tcW w:w="3775" w:type="dxa"/>
            <w:vAlign w:val="center"/>
          </w:tcPr>
          <w:p w14:paraId="43058212" w14:textId="77777777" w:rsidR="00F16EE1" w:rsidRPr="000E56F9" w:rsidRDefault="00F16EE1" w:rsidP="00F16EE1">
            <w:pPr>
              <w:keepNext/>
              <w:numPr>
                <w:ilvl w:val="0"/>
                <w:numId w:val="2"/>
              </w:numPr>
              <w:outlineLvl w:val="1"/>
              <w:rPr>
                <w:rFonts w:asciiTheme="minorHAnsi" w:eastAsia="MS Gothic" w:hAnsiTheme="minorHAnsi" w:cstheme="minorHAnsi"/>
                <w:bCs/>
                <w:i/>
                <w:iCs/>
                <w:kern w:val="0"/>
                <w:sz w:val="18"/>
                <w:szCs w:val="18"/>
                <w14:ligatures w14:val="none"/>
              </w:rPr>
            </w:pPr>
            <w:bookmarkStart w:id="44" w:name="_Toc155880551"/>
            <w:bookmarkStart w:id="45" w:name="_Toc157060204"/>
            <w:r w:rsidRPr="000E56F9">
              <w:rPr>
                <w:rFonts w:asciiTheme="minorHAnsi" w:eastAsia="Tw Cen MT" w:hAnsiTheme="minorHAnsi" w:cstheme="minorHAnsi"/>
                <w:bCs/>
                <w:i/>
                <w:iCs/>
                <w:kern w:val="0"/>
                <w:sz w:val="18"/>
                <w:szCs w:val="18"/>
                <w:lang w:eastAsia="ja-JP"/>
                <w14:ligatures w14:val="none"/>
              </w:rPr>
              <w:t xml:space="preserve">Do Program management actions in the central Platte River cumulatively 1) produce detectable changes in the physical environment (i.e., habitat) and 2) result in a detectable increase in </w:t>
            </w:r>
            <w:proofErr w:type="spellStart"/>
            <w:r w:rsidRPr="000E56F9">
              <w:rPr>
                <w:rFonts w:asciiTheme="minorHAnsi" w:eastAsia="Tw Cen MT" w:hAnsiTheme="minorHAnsi" w:cstheme="minorHAnsi"/>
                <w:bCs/>
                <w:i/>
                <w:iCs/>
                <w:kern w:val="0"/>
                <w:sz w:val="18"/>
                <w:szCs w:val="18"/>
                <w:lang w:eastAsia="ja-JP"/>
                <w14:ligatures w14:val="none"/>
              </w:rPr>
              <w:t>tern</w:t>
            </w:r>
            <w:proofErr w:type="spellEnd"/>
            <w:r w:rsidRPr="000E56F9">
              <w:rPr>
                <w:rFonts w:asciiTheme="minorHAnsi" w:eastAsia="Tw Cen MT" w:hAnsiTheme="minorHAnsi" w:cstheme="minorHAnsi"/>
                <w:bCs/>
                <w:i/>
                <w:iCs/>
                <w:kern w:val="0"/>
                <w:sz w:val="18"/>
                <w:szCs w:val="18"/>
                <w:lang w:eastAsia="ja-JP"/>
                <w14:ligatures w14:val="none"/>
              </w:rPr>
              <w:t>, plover, and whooping crane use of the Associated Habitats?</w:t>
            </w:r>
            <w:bookmarkEnd w:id="44"/>
            <w:bookmarkEnd w:id="45"/>
          </w:p>
        </w:tc>
        <w:tc>
          <w:tcPr>
            <w:tcW w:w="1620" w:type="dxa"/>
            <w:vAlign w:val="center"/>
          </w:tcPr>
          <w:p w14:paraId="455BB598" w14:textId="380B47AF" w:rsidR="00F16EE1" w:rsidRPr="000E56F9" w:rsidRDefault="00F16EE1" w:rsidP="00F16EE1">
            <w:pPr>
              <w:rPr>
                <w:rFonts w:asciiTheme="minorHAnsi" w:hAnsiTheme="minorHAnsi" w:cstheme="minorHAnsi"/>
                <w:b/>
                <w:noProof/>
                <w:kern w:val="0"/>
                <w:sz w:val="18"/>
                <w:szCs w:val="18"/>
                <w:u w:val="single"/>
                <w14:ligatures w14:val="none"/>
              </w:rPr>
            </w:pPr>
            <w:r w:rsidRPr="000E56F9">
              <w:rPr>
                <w:rFonts w:asciiTheme="minorHAnsi" w:hAnsiTheme="minorHAnsi" w:cstheme="minorHAnsi"/>
                <w:noProof/>
                <w:kern w:val="0"/>
                <w:sz w:val="18"/>
                <w:szCs w:val="18"/>
                <w14:ligatures w14:val="none"/>
              </w:rPr>
              <w:drawing>
                <wp:anchor distT="0" distB="0" distL="114300" distR="114300" simplePos="0" relativeHeight="251709440" behindDoc="0" locked="0" layoutInCell="1" allowOverlap="1" wp14:anchorId="7BF9C633" wp14:editId="1EB70738">
                  <wp:simplePos x="0" y="0"/>
                  <wp:positionH relativeFrom="column">
                    <wp:posOffset>509905</wp:posOffset>
                  </wp:positionH>
                  <wp:positionV relativeFrom="paragraph">
                    <wp:posOffset>111760</wp:posOffset>
                  </wp:positionV>
                  <wp:extent cx="177165" cy="177165"/>
                  <wp:effectExtent l="0" t="0" r="0" b="0"/>
                  <wp:wrapNone/>
                  <wp:docPr id="76" name="Graphic 76"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noProof/>
                <w:kern w:val="0"/>
                <w:sz w:val="18"/>
                <w:szCs w:val="18"/>
                <w14:ligatures w14:val="none"/>
              </w:rPr>
              <w:drawing>
                <wp:anchor distT="0" distB="0" distL="114300" distR="114300" simplePos="0" relativeHeight="251710464" behindDoc="0" locked="0" layoutInCell="1" allowOverlap="1" wp14:anchorId="7711E6B8" wp14:editId="0D18E1B1">
                  <wp:simplePos x="0" y="0"/>
                  <wp:positionH relativeFrom="column">
                    <wp:posOffset>700405</wp:posOffset>
                  </wp:positionH>
                  <wp:positionV relativeFrom="paragraph">
                    <wp:posOffset>113030</wp:posOffset>
                  </wp:positionV>
                  <wp:extent cx="177165" cy="177165"/>
                  <wp:effectExtent l="0" t="0" r="0" b="0"/>
                  <wp:wrapNone/>
                  <wp:docPr id="85" name="Graphic 85"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b/>
                <w:noProof/>
                <w:kern w:val="0"/>
                <w:sz w:val="18"/>
                <w:szCs w:val="18"/>
                <w:u w:val="single"/>
                <w14:ligatures w14:val="none"/>
              </w:rPr>
              <w:t>LTPP Off-Channel</w:t>
            </w:r>
          </w:p>
          <w:p w14:paraId="6A5265E0" w14:textId="0C4CA4EC" w:rsidR="00F16EE1" w:rsidRPr="000E56F9" w:rsidRDefault="00F16EE1" w:rsidP="00F16EE1">
            <w:pPr>
              <w:rPr>
                <w:rFonts w:asciiTheme="minorHAnsi" w:hAnsiTheme="minorHAnsi" w:cstheme="minorHAnsi"/>
                <w:bCs/>
                <w:noProof/>
                <w:kern w:val="0"/>
                <w:sz w:val="18"/>
                <w:szCs w:val="18"/>
                <w14:ligatures w14:val="none"/>
              </w:rPr>
            </w:pPr>
            <w:r w:rsidRPr="000E56F9">
              <w:rPr>
                <w:rFonts w:asciiTheme="minorHAnsi" w:hAnsiTheme="minorHAnsi" w:cstheme="minorHAnsi"/>
                <w:bCs/>
                <w:noProof/>
                <w:kern w:val="0"/>
                <w:sz w:val="18"/>
                <w:szCs w:val="18"/>
                <w14:ligatures w14:val="none"/>
              </w:rPr>
              <w:t>Habitat:</w:t>
            </w:r>
            <w:r w:rsidRPr="000E56F9">
              <w:rPr>
                <w:rFonts w:asciiTheme="minorHAnsi" w:hAnsiTheme="minorHAnsi" w:cstheme="minorHAnsi"/>
                <w:noProof/>
                <w:kern w:val="0"/>
                <w:sz w:val="18"/>
                <w:szCs w:val="18"/>
                <w14:ligatures w14:val="none"/>
              </w:rPr>
              <w:t xml:space="preserve"> </w:t>
            </w:r>
          </w:p>
          <w:p w14:paraId="761B4486" w14:textId="77777777" w:rsidR="00F16EE1" w:rsidRPr="000E56F9" w:rsidRDefault="00F16EE1" w:rsidP="00F16EE1">
            <w:pPr>
              <w:rPr>
                <w:rFonts w:asciiTheme="minorHAnsi" w:hAnsiTheme="minorHAnsi" w:cstheme="minorHAnsi"/>
                <w:bCs/>
                <w:noProof/>
                <w:kern w:val="0"/>
                <w:sz w:val="18"/>
                <w:szCs w:val="18"/>
                <w14:ligatures w14:val="none"/>
              </w:rPr>
            </w:pPr>
            <w:r w:rsidRPr="000E56F9">
              <w:rPr>
                <w:rFonts w:asciiTheme="minorHAnsi" w:hAnsiTheme="minorHAnsi" w:cstheme="minorHAnsi"/>
                <w:noProof/>
                <w:kern w:val="0"/>
                <w:sz w:val="18"/>
                <w:szCs w:val="18"/>
                <w14:ligatures w14:val="none"/>
              </w:rPr>
              <w:drawing>
                <wp:anchor distT="0" distB="0" distL="114300" distR="114300" simplePos="0" relativeHeight="251711488" behindDoc="0" locked="0" layoutInCell="1" allowOverlap="1" wp14:anchorId="4B6E4735" wp14:editId="0E970ADC">
                  <wp:simplePos x="0" y="0"/>
                  <wp:positionH relativeFrom="column">
                    <wp:posOffset>508635</wp:posOffset>
                  </wp:positionH>
                  <wp:positionV relativeFrom="paragraph">
                    <wp:posOffset>95250</wp:posOffset>
                  </wp:positionV>
                  <wp:extent cx="177165" cy="177165"/>
                  <wp:effectExtent l="0" t="0" r="0" b="0"/>
                  <wp:wrapNone/>
                  <wp:docPr id="86" name="Graphic 86"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noProof/>
                <w:kern w:val="0"/>
                <w:sz w:val="18"/>
                <w:szCs w:val="18"/>
                <w14:ligatures w14:val="none"/>
              </w:rPr>
              <w:drawing>
                <wp:anchor distT="0" distB="0" distL="114300" distR="114300" simplePos="0" relativeHeight="251712512" behindDoc="0" locked="0" layoutInCell="1" allowOverlap="1" wp14:anchorId="26B7F1C3" wp14:editId="53885F4E">
                  <wp:simplePos x="0" y="0"/>
                  <wp:positionH relativeFrom="column">
                    <wp:posOffset>691515</wp:posOffset>
                  </wp:positionH>
                  <wp:positionV relativeFrom="paragraph">
                    <wp:posOffset>92075</wp:posOffset>
                  </wp:positionV>
                  <wp:extent cx="177165" cy="177165"/>
                  <wp:effectExtent l="0" t="0" r="0" b="0"/>
                  <wp:wrapNone/>
                  <wp:docPr id="87" name="Graphic 87"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bCs/>
                <w:noProof/>
                <w:kern w:val="0"/>
                <w:sz w:val="18"/>
                <w:szCs w:val="18"/>
                <w14:ligatures w14:val="none"/>
              </w:rPr>
              <w:t>Species</w:t>
            </w:r>
          </w:p>
          <w:p w14:paraId="0F20B614" w14:textId="77777777" w:rsidR="00F16EE1" w:rsidRPr="000E56F9" w:rsidRDefault="00F16EE1" w:rsidP="00F16EE1">
            <w:pPr>
              <w:rPr>
                <w:rFonts w:asciiTheme="minorHAnsi" w:hAnsiTheme="minorHAnsi" w:cstheme="minorHAnsi"/>
                <w:bCs/>
                <w:noProof/>
                <w:kern w:val="0"/>
                <w:sz w:val="18"/>
                <w:szCs w:val="18"/>
                <w14:ligatures w14:val="none"/>
              </w:rPr>
            </w:pPr>
            <w:r w:rsidRPr="000E56F9">
              <w:rPr>
                <w:rFonts w:asciiTheme="minorHAnsi" w:hAnsiTheme="minorHAnsi" w:cstheme="minorHAnsi"/>
                <w:bCs/>
                <w:noProof/>
                <w:kern w:val="0"/>
                <w:sz w:val="18"/>
                <w:szCs w:val="18"/>
                <w14:ligatures w14:val="none"/>
              </w:rPr>
              <w:t xml:space="preserve">Response: </w:t>
            </w:r>
          </w:p>
          <w:p w14:paraId="74F5D83B" w14:textId="77777777" w:rsidR="00F16EE1" w:rsidRPr="000E56F9" w:rsidRDefault="00F16EE1" w:rsidP="00F16EE1">
            <w:pPr>
              <w:rPr>
                <w:rFonts w:asciiTheme="minorHAnsi" w:hAnsiTheme="minorHAnsi" w:cstheme="minorHAnsi"/>
                <w:b/>
                <w:noProof/>
                <w:kern w:val="0"/>
                <w:sz w:val="18"/>
                <w:szCs w:val="18"/>
                <w:u w:val="single"/>
                <w14:ligatures w14:val="none"/>
              </w:rPr>
            </w:pPr>
          </w:p>
          <w:p w14:paraId="16754DC4" w14:textId="77777777" w:rsidR="00F16EE1" w:rsidRPr="000E56F9" w:rsidRDefault="00F16EE1" w:rsidP="00F16EE1">
            <w:pPr>
              <w:rPr>
                <w:rFonts w:asciiTheme="minorHAnsi" w:hAnsiTheme="minorHAnsi" w:cstheme="minorHAnsi"/>
                <w:b/>
                <w:noProof/>
                <w:kern w:val="0"/>
                <w:sz w:val="18"/>
                <w:szCs w:val="18"/>
                <w:u w:val="single"/>
                <w14:ligatures w14:val="none"/>
              </w:rPr>
            </w:pPr>
            <w:r w:rsidRPr="000E56F9">
              <w:rPr>
                <w:rFonts w:asciiTheme="minorHAnsi" w:hAnsiTheme="minorHAnsi" w:cstheme="minorHAnsi"/>
                <w:noProof/>
                <w:kern w:val="0"/>
                <w:sz w:val="18"/>
                <w:szCs w:val="18"/>
                <w14:ligatures w14:val="none"/>
              </w:rPr>
              <w:drawing>
                <wp:anchor distT="0" distB="0" distL="114300" distR="114300" simplePos="0" relativeHeight="251713536" behindDoc="0" locked="0" layoutInCell="1" allowOverlap="1" wp14:anchorId="35CBBD8E" wp14:editId="31BD14D2">
                  <wp:simplePos x="0" y="0"/>
                  <wp:positionH relativeFrom="column">
                    <wp:posOffset>493395</wp:posOffset>
                  </wp:positionH>
                  <wp:positionV relativeFrom="paragraph">
                    <wp:posOffset>114935</wp:posOffset>
                  </wp:positionV>
                  <wp:extent cx="177165" cy="177165"/>
                  <wp:effectExtent l="0" t="0" r="0" b="0"/>
                  <wp:wrapNone/>
                  <wp:docPr id="88" name="Graphic 88"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noProof/>
                <w:kern w:val="0"/>
                <w:sz w:val="18"/>
                <w:szCs w:val="18"/>
                <w14:ligatures w14:val="none"/>
              </w:rPr>
              <w:drawing>
                <wp:anchor distT="0" distB="0" distL="114300" distR="114300" simplePos="0" relativeHeight="251714560" behindDoc="0" locked="0" layoutInCell="1" allowOverlap="1" wp14:anchorId="2F7125B9" wp14:editId="3DD47BD4">
                  <wp:simplePos x="0" y="0"/>
                  <wp:positionH relativeFrom="column">
                    <wp:posOffset>671830</wp:posOffset>
                  </wp:positionH>
                  <wp:positionV relativeFrom="paragraph">
                    <wp:posOffset>114935</wp:posOffset>
                  </wp:positionV>
                  <wp:extent cx="177165" cy="177165"/>
                  <wp:effectExtent l="0" t="0" r="0" b="0"/>
                  <wp:wrapNone/>
                  <wp:docPr id="89" name="Graphic 89"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b/>
                <w:noProof/>
                <w:kern w:val="0"/>
                <w:sz w:val="18"/>
                <w:szCs w:val="18"/>
                <w:u w:val="single"/>
                <w14:ligatures w14:val="none"/>
              </w:rPr>
              <w:t>WC On-Channel</w:t>
            </w:r>
          </w:p>
          <w:p w14:paraId="2D351545" w14:textId="77777777" w:rsidR="00F16EE1" w:rsidRPr="000E56F9" w:rsidRDefault="00F16EE1" w:rsidP="00F16EE1">
            <w:pPr>
              <w:rPr>
                <w:rFonts w:asciiTheme="minorHAnsi" w:hAnsiTheme="minorHAnsi" w:cstheme="minorHAnsi"/>
                <w:bCs/>
                <w:noProof/>
                <w:kern w:val="0"/>
                <w:sz w:val="18"/>
                <w:szCs w:val="18"/>
                <w14:ligatures w14:val="none"/>
              </w:rPr>
            </w:pPr>
            <w:r w:rsidRPr="000E56F9">
              <w:rPr>
                <w:rFonts w:asciiTheme="minorHAnsi" w:hAnsiTheme="minorHAnsi" w:cstheme="minorHAnsi"/>
                <w:bCs/>
                <w:noProof/>
                <w:kern w:val="0"/>
                <w:sz w:val="18"/>
                <w:szCs w:val="18"/>
                <w14:ligatures w14:val="none"/>
              </w:rPr>
              <w:t xml:space="preserve">Habitat: </w:t>
            </w:r>
          </w:p>
          <w:p w14:paraId="687DD354" w14:textId="77777777" w:rsidR="00F16EE1" w:rsidRPr="000E56F9" w:rsidRDefault="00F16EE1" w:rsidP="00F16EE1">
            <w:pPr>
              <w:rPr>
                <w:rFonts w:asciiTheme="minorHAnsi" w:hAnsiTheme="minorHAnsi" w:cstheme="minorHAnsi"/>
                <w:bCs/>
                <w:noProof/>
                <w:kern w:val="0"/>
                <w:sz w:val="18"/>
                <w:szCs w:val="18"/>
                <w14:ligatures w14:val="none"/>
              </w:rPr>
            </w:pPr>
            <w:r w:rsidRPr="000E56F9">
              <w:rPr>
                <w:rFonts w:asciiTheme="minorHAnsi" w:hAnsiTheme="minorHAnsi" w:cstheme="minorHAnsi"/>
                <w:noProof/>
                <w:kern w:val="0"/>
                <w:sz w:val="18"/>
                <w:szCs w:val="18"/>
                <w14:ligatures w14:val="none"/>
              </w:rPr>
              <w:drawing>
                <wp:anchor distT="0" distB="0" distL="114300" distR="114300" simplePos="0" relativeHeight="251716608" behindDoc="0" locked="0" layoutInCell="1" allowOverlap="1" wp14:anchorId="5F976B1E" wp14:editId="79420B53">
                  <wp:simplePos x="0" y="0"/>
                  <wp:positionH relativeFrom="column">
                    <wp:posOffset>683260</wp:posOffset>
                  </wp:positionH>
                  <wp:positionV relativeFrom="paragraph">
                    <wp:posOffset>83185</wp:posOffset>
                  </wp:positionV>
                  <wp:extent cx="177165" cy="177165"/>
                  <wp:effectExtent l="0" t="0" r="0" b="0"/>
                  <wp:wrapNone/>
                  <wp:docPr id="91" name="Graphic 91"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noProof/>
                <w:kern w:val="0"/>
                <w:sz w:val="18"/>
                <w:szCs w:val="18"/>
                <w14:ligatures w14:val="none"/>
              </w:rPr>
              <w:drawing>
                <wp:anchor distT="0" distB="0" distL="114300" distR="114300" simplePos="0" relativeHeight="251715584" behindDoc="0" locked="0" layoutInCell="1" allowOverlap="1" wp14:anchorId="352AE880" wp14:editId="1B9F4F0E">
                  <wp:simplePos x="0" y="0"/>
                  <wp:positionH relativeFrom="column">
                    <wp:posOffset>494665</wp:posOffset>
                  </wp:positionH>
                  <wp:positionV relativeFrom="paragraph">
                    <wp:posOffset>83185</wp:posOffset>
                  </wp:positionV>
                  <wp:extent cx="177165" cy="177165"/>
                  <wp:effectExtent l="0" t="0" r="0" b="0"/>
                  <wp:wrapNone/>
                  <wp:docPr id="1246477757" name="Graphic 1246477757"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phic 66" descr="Thumbs up sign with solid fill"/>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177165" cy="177165"/>
                          </a:xfrm>
                          <a:prstGeom prst="rect">
                            <a:avLst/>
                          </a:prstGeom>
                        </pic:spPr>
                      </pic:pic>
                    </a:graphicData>
                  </a:graphic>
                  <wp14:sizeRelH relativeFrom="margin">
                    <wp14:pctWidth>0</wp14:pctWidth>
                  </wp14:sizeRelH>
                  <wp14:sizeRelV relativeFrom="margin">
                    <wp14:pctHeight>0</wp14:pctHeight>
                  </wp14:sizeRelV>
                </wp:anchor>
              </w:drawing>
            </w:r>
            <w:r w:rsidRPr="000E56F9">
              <w:rPr>
                <w:rFonts w:asciiTheme="minorHAnsi" w:hAnsiTheme="minorHAnsi" w:cstheme="minorHAnsi"/>
                <w:bCs/>
                <w:noProof/>
                <w:kern w:val="0"/>
                <w:sz w:val="18"/>
                <w:szCs w:val="18"/>
                <w14:ligatures w14:val="none"/>
              </w:rPr>
              <w:t>Species</w:t>
            </w:r>
          </w:p>
          <w:p w14:paraId="3E21207F" w14:textId="77777777" w:rsidR="00F16EE1" w:rsidRPr="000E56F9" w:rsidRDefault="00F16EE1" w:rsidP="00F16EE1">
            <w:pPr>
              <w:rPr>
                <w:rFonts w:asciiTheme="minorHAnsi" w:hAnsiTheme="minorHAnsi" w:cstheme="minorHAnsi"/>
                <w:bCs/>
                <w:color w:val="92D050"/>
                <w:kern w:val="0"/>
                <w:sz w:val="18"/>
                <w:szCs w:val="18"/>
                <w14:ligatures w14:val="none"/>
              </w:rPr>
            </w:pPr>
            <w:r w:rsidRPr="000E56F9">
              <w:rPr>
                <w:rFonts w:asciiTheme="minorHAnsi" w:hAnsiTheme="minorHAnsi" w:cstheme="minorHAnsi"/>
                <w:bCs/>
                <w:noProof/>
                <w:kern w:val="0"/>
                <w:sz w:val="18"/>
                <w:szCs w:val="18"/>
                <w14:ligatures w14:val="none"/>
              </w:rPr>
              <w:t xml:space="preserve">Response: </w:t>
            </w:r>
          </w:p>
        </w:tc>
        <w:tc>
          <w:tcPr>
            <w:tcW w:w="4140" w:type="dxa"/>
            <w:vAlign w:val="center"/>
          </w:tcPr>
          <w:p w14:paraId="17E87FF5" w14:textId="459790EC" w:rsidR="00F16EE1" w:rsidRPr="000E56F9" w:rsidRDefault="008A21DF" w:rsidP="008A21DF">
            <w:pPr>
              <w:tabs>
                <w:tab w:val="center" w:pos="4680"/>
                <w:tab w:val="right" w:pos="9360"/>
              </w:tabs>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 xml:space="preserve">* </w:t>
            </w:r>
            <w:r w:rsidR="00F16EE1" w:rsidRPr="000E56F9">
              <w:rPr>
                <w:rFonts w:asciiTheme="minorHAnsi" w:hAnsiTheme="minorHAnsi" w:cstheme="minorHAnsi"/>
                <w:kern w:val="0"/>
                <w:sz w:val="18"/>
                <w:szCs w:val="18"/>
                <w14:ligatures w14:val="none"/>
              </w:rPr>
              <w:t>LTPP Off-Channel: Monitoring of piping plover breeding pairs and fledges in relation to habitat availability.</w:t>
            </w:r>
          </w:p>
          <w:p w14:paraId="4D8188FC" w14:textId="1A874742" w:rsidR="00F16EE1" w:rsidRPr="000E56F9" w:rsidRDefault="008A21DF" w:rsidP="008A21DF">
            <w:pPr>
              <w:tabs>
                <w:tab w:val="center" w:pos="4680"/>
                <w:tab w:val="right" w:pos="9360"/>
              </w:tabs>
              <w:rPr>
                <w:rFonts w:asciiTheme="minorHAnsi" w:hAnsiTheme="minorHAnsi" w:cstheme="minorHAnsi"/>
                <w:kern w:val="0"/>
                <w:sz w:val="18"/>
                <w:szCs w:val="18"/>
                <w14:ligatures w14:val="none"/>
              </w:rPr>
            </w:pPr>
            <w:r w:rsidRPr="000E56F9">
              <w:rPr>
                <w:rFonts w:asciiTheme="minorHAnsi" w:hAnsiTheme="minorHAnsi" w:cstheme="minorHAnsi"/>
                <w:kern w:val="0"/>
                <w:sz w:val="18"/>
                <w:szCs w:val="18"/>
                <w14:ligatures w14:val="none"/>
              </w:rPr>
              <w:t xml:space="preserve">* </w:t>
            </w:r>
            <w:r w:rsidR="00F16EE1" w:rsidRPr="000E56F9">
              <w:rPr>
                <w:rFonts w:asciiTheme="minorHAnsi" w:hAnsiTheme="minorHAnsi" w:cstheme="minorHAnsi"/>
                <w:kern w:val="0"/>
                <w:sz w:val="18"/>
                <w:szCs w:val="18"/>
                <w14:ligatures w14:val="none"/>
              </w:rPr>
              <w:t>WC On-Channel: Monitoring to detect a change in the distribution of WC use of the AHR as well as proportional use of Program properties</w:t>
            </w:r>
            <w:r w:rsidR="00F16EE1" w:rsidRPr="000E56F9">
              <w:rPr>
                <w:rFonts w:asciiTheme="minorHAnsi" w:eastAsia="Times New Roman" w:hAnsiTheme="minorHAnsi" w:cstheme="minorHAnsi"/>
                <w:color w:val="000000"/>
                <w:kern w:val="0"/>
                <w:sz w:val="18"/>
                <w:szCs w:val="18"/>
                <w14:ligatures w14:val="none"/>
              </w:rPr>
              <w:t>.</w:t>
            </w:r>
          </w:p>
        </w:tc>
      </w:tr>
    </w:tbl>
    <w:p w14:paraId="7344A001" w14:textId="77777777" w:rsidR="00F16EE1" w:rsidRPr="00F16EE1" w:rsidRDefault="00F16EE1" w:rsidP="00F16EE1">
      <w:pPr>
        <w:rPr>
          <w:rFonts w:asciiTheme="minorHAnsi" w:hAnsiTheme="minorHAnsi" w:cstheme="minorHAnsi"/>
          <w:kern w:val="0"/>
          <w:sz w:val="16"/>
          <w:szCs w:val="16"/>
          <w14:ligatures w14:val="none"/>
        </w:rPr>
        <w:sectPr w:rsidR="00F16EE1" w:rsidRPr="00F16EE1" w:rsidSect="005B280F">
          <w:pgSz w:w="12240" w:h="15840"/>
          <w:pgMar w:top="1440" w:right="1440" w:bottom="1440" w:left="1440" w:header="720" w:footer="720" w:gutter="0"/>
          <w:lnNumType w:countBy="1" w:restart="newSection"/>
          <w:cols w:space="720"/>
          <w:docGrid w:linePitch="360"/>
        </w:sectPr>
      </w:pPr>
      <w:r w:rsidRPr="00F16EE1">
        <w:rPr>
          <w:rFonts w:asciiTheme="minorHAnsi" w:hAnsiTheme="minorHAnsi" w:cstheme="minorHAnsi"/>
          <w:kern w:val="0"/>
          <w:sz w:val="16"/>
          <w:szCs w:val="16"/>
          <w14:ligatures w14:val="none"/>
        </w:rPr>
        <w:t>*Check in activities are habitat and target species monitoring activities continued through the Extension that will provide information relevant to the previous/existing conclusions on the First Increment Big Questions for consideration by the Governance Committee.</w:t>
      </w:r>
    </w:p>
    <w:p w14:paraId="39466971" w14:textId="71302B94" w:rsidR="00CA6FE5" w:rsidRPr="00CA6FE5" w:rsidRDefault="000F10F9" w:rsidP="00D17A2B">
      <w:pPr>
        <w:pStyle w:val="Heading1"/>
      </w:pPr>
      <w:bookmarkStart w:id="46" w:name="_Toc157060205"/>
      <w:bookmarkStart w:id="47" w:name="Extension_Science_Priorities"/>
      <w:r w:rsidRPr="00CA6FE5">
        <w:t>Extension Science Priorities</w:t>
      </w:r>
      <w:bookmarkEnd w:id="46"/>
    </w:p>
    <w:bookmarkEnd w:id="47"/>
    <w:p w14:paraId="5D47E68C" w14:textId="1FF3EE95" w:rsidR="00CA6FE5" w:rsidRPr="00CA6FE5" w:rsidRDefault="00CA6FE5" w:rsidP="00CA6FE5">
      <w:pPr>
        <w:rPr>
          <w:kern w:val="0"/>
          <w14:ligatures w14:val="none"/>
        </w:rPr>
      </w:pPr>
      <w:r w:rsidRPr="00CA6FE5">
        <w:rPr>
          <w:kern w:val="0"/>
          <w14:ligatures w14:val="none"/>
        </w:rPr>
        <w:t xml:space="preserve">During the Extension, Program science activities will center around two broad categories of learning as an organizing concept for relating scientific data and conclusions </w:t>
      </w:r>
      <w:r w:rsidR="00A23A75">
        <w:rPr>
          <w:kern w:val="0"/>
          <w14:ligatures w14:val="none"/>
        </w:rPr>
        <w:t>to decision-making. These priorities are the s</w:t>
      </w:r>
      <w:r w:rsidR="00A839C0">
        <w:rPr>
          <w:kern w:val="0"/>
          <w14:ligatures w14:val="none"/>
        </w:rPr>
        <w:t xml:space="preserve">eed source for </w:t>
      </w:r>
      <w:r w:rsidR="003661AB">
        <w:rPr>
          <w:kern w:val="0"/>
          <w14:ligatures w14:val="none"/>
        </w:rPr>
        <w:t>the Extension Big Questions and</w:t>
      </w:r>
      <w:r w:rsidR="003E7ABC">
        <w:rPr>
          <w:kern w:val="0"/>
          <w14:ligatures w14:val="none"/>
        </w:rPr>
        <w:t xml:space="preserve"> focused implementation and evaluation under the Extension Science Plan.</w:t>
      </w:r>
    </w:p>
    <w:p w14:paraId="2A64622D" w14:textId="77777777" w:rsidR="00CA6FE5" w:rsidRPr="00CA6FE5" w:rsidRDefault="00CA6FE5" w:rsidP="00CA6FE5">
      <w:pPr>
        <w:rPr>
          <w:kern w:val="0"/>
          <w14:ligatures w14:val="none"/>
        </w:rPr>
      </w:pPr>
    </w:p>
    <w:p w14:paraId="68171F9A" w14:textId="77777777" w:rsidR="00CA6FE5" w:rsidRPr="005B41A3" w:rsidRDefault="00CA6FE5" w:rsidP="00CA6FE5">
      <w:pPr>
        <w:numPr>
          <w:ilvl w:val="0"/>
          <w:numId w:val="22"/>
        </w:numPr>
        <w:tabs>
          <w:tab w:val="center" w:pos="4680"/>
          <w:tab w:val="right" w:pos="9360"/>
        </w:tabs>
        <w:rPr>
          <w:b/>
          <w:bCs/>
          <w:color w:val="000000" w:themeColor="text1"/>
          <w:kern w:val="0"/>
          <w14:ligatures w14:val="none"/>
        </w:rPr>
      </w:pPr>
      <w:bookmarkStart w:id="48" w:name="Active_Learning"/>
      <w:r w:rsidRPr="005B41A3">
        <w:rPr>
          <w:b/>
          <w:bCs/>
          <w:color w:val="000000" w:themeColor="text1"/>
          <w:kern w:val="0"/>
          <w14:ligatures w14:val="none"/>
        </w:rPr>
        <w:t xml:space="preserve">Active Learning </w:t>
      </w:r>
      <w:bookmarkEnd w:id="48"/>
      <w:r w:rsidRPr="005B41A3">
        <w:rPr>
          <w:b/>
          <w:bCs/>
          <w:color w:val="000000" w:themeColor="text1"/>
          <w:kern w:val="0"/>
          <w14:ligatures w14:val="none"/>
        </w:rPr>
        <w:t>– management action experiments</w:t>
      </w:r>
    </w:p>
    <w:p w14:paraId="5A244D2E" w14:textId="55F2E20D" w:rsidR="00CA6FE5" w:rsidRPr="00CA6FE5" w:rsidRDefault="00CA6FE5" w:rsidP="00CA6FE5">
      <w:pPr>
        <w:rPr>
          <w:kern w:val="0"/>
          <w14:ligatures w14:val="none"/>
        </w:rPr>
      </w:pPr>
      <w:r w:rsidRPr="00CA6FE5">
        <w:rPr>
          <w:kern w:val="0"/>
          <w14:ligatures w14:val="none"/>
        </w:rPr>
        <w:t>This Program science priority will focus on the design and implementation of specific Program management actions to learn how river form/function and the target bird species (primarily whooping cranes) respond</w:t>
      </w:r>
      <w:r w:rsidR="006B55AA">
        <w:rPr>
          <w:kern w:val="0"/>
          <w14:ligatures w14:val="none"/>
        </w:rPr>
        <w:t xml:space="preserve">. </w:t>
      </w:r>
      <w:r w:rsidRPr="00CA6FE5">
        <w:rPr>
          <w:kern w:val="0"/>
          <w14:ligatures w14:val="none"/>
        </w:rPr>
        <w:t>For the Extension, this science priority includes evaluation of:</w:t>
      </w:r>
    </w:p>
    <w:p w14:paraId="3DB1CFAD" w14:textId="77777777" w:rsidR="00CA6FE5" w:rsidRPr="00CA6FE5" w:rsidRDefault="00CA6FE5" w:rsidP="00CA6FE5">
      <w:pPr>
        <w:numPr>
          <w:ilvl w:val="0"/>
          <w:numId w:val="23"/>
        </w:numPr>
        <w:tabs>
          <w:tab w:val="center" w:pos="4680"/>
          <w:tab w:val="right" w:pos="9360"/>
        </w:tabs>
        <w:rPr>
          <w:kern w:val="0"/>
          <w14:ligatures w14:val="none"/>
        </w:rPr>
      </w:pPr>
      <w:r w:rsidRPr="00CA6FE5">
        <w:rPr>
          <w:kern w:val="0"/>
          <w14:ligatures w14:val="none"/>
        </w:rPr>
        <w:t xml:space="preserve">The effectiveness of Program water management in creating and/or maintaining suitable  whooping crane habitat through suppression of channel </w:t>
      </w:r>
      <w:hyperlink w:anchor="Vegetation_definition" w:history="1">
        <w:r w:rsidRPr="00E21D85">
          <w:rPr>
            <w:iCs/>
            <w:color w:val="000000" w:themeColor="text1"/>
            <w:kern w:val="0"/>
            <w14:ligatures w14:val="none"/>
          </w:rPr>
          <w:t>vegetation</w:t>
        </w:r>
      </w:hyperlink>
      <w:r w:rsidRPr="00E21D85">
        <w:rPr>
          <w:color w:val="000000" w:themeColor="text1"/>
          <w:kern w:val="0"/>
          <w14:ligatures w14:val="none"/>
        </w:rPr>
        <w:t xml:space="preserve"> </w:t>
      </w:r>
      <w:r w:rsidRPr="00CA6FE5">
        <w:rPr>
          <w:kern w:val="0"/>
          <w14:ligatures w14:val="none"/>
        </w:rPr>
        <w:t xml:space="preserve">germination (river channels with </w:t>
      </w:r>
      <w:r w:rsidRPr="00CA6FE5">
        <w:rPr>
          <w:rFonts w:asciiTheme="minorHAnsi" w:eastAsia="MS Gothic" w:hAnsiTheme="minorHAnsi" w:cstheme="minorHAnsi"/>
          <w:color w:val="000000"/>
          <w:kern w:val="0"/>
          <w14:ligatures w14:val="none"/>
        </w:rPr>
        <w:t>≥650-ft widths unobstructed by dense vegetation are highly suitable for WC roosting)</w:t>
      </w:r>
      <w:r w:rsidRPr="00CA6FE5">
        <w:rPr>
          <w:kern w:val="0"/>
          <w14:ligatures w14:val="none"/>
        </w:rPr>
        <w:t>.</w:t>
      </w:r>
    </w:p>
    <w:p w14:paraId="69790440" w14:textId="1365342E" w:rsidR="00CA6FE5" w:rsidRPr="00CA6FE5" w:rsidRDefault="00CA6FE5" w:rsidP="00CA6FE5">
      <w:pPr>
        <w:numPr>
          <w:ilvl w:val="0"/>
          <w:numId w:val="23"/>
        </w:numPr>
        <w:tabs>
          <w:tab w:val="center" w:pos="4680"/>
          <w:tab w:val="right" w:pos="9360"/>
        </w:tabs>
        <w:rPr>
          <w:kern w:val="0"/>
          <w14:ligatures w14:val="none"/>
        </w:rPr>
      </w:pPr>
      <w:r w:rsidRPr="00CA6FE5">
        <w:rPr>
          <w:kern w:val="0"/>
          <w14:ligatures w14:val="none"/>
        </w:rPr>
        <w:t xml:space="preserve">The effectiveness of Program management actions (flow and mechanical tools) in controlling the spread of channel vegetation, particularly </w:t>
      </w:r>
      <w:r w:rsidRPr="00CA6FE5">
        <w:rPr>
          <w:i/>
          <w:iCs/>
          <w:kern w:val="0"/>
          <w14:ligatures w14:val="none"/>
        </w:rPr>
        <w:t>Phragmites australis</w:t>
      </w:r>
      <w:r w:rsidRPr="00CA6FE5">
        <w:rPr>
          <w:kern w:val="0"/>
          <w14:ligatures w14:val="none"/>
        </w:rPr>
        <w:t>, as means of creating and/or maintaining suitable WC habitat.</w:t>
      </w:r>
    </w:p>
    <w:p w14:paraId="0E2D3353" w14:textId="6F5236F1" w:rsidR="00CA6FE5" w:rsidRPr="00CA6FE5" w:rsidRDefault="00CA6FE5" w:rsidP="00CA6FE5">
      <w:pPr>
        <w:numPr>
          <w:ilvl w:val="0"/>
          <w:numId w:val="23"/>
        </w:numPr>
        <w:tabs>
          <w:tab w:val="center" w:pos="4680"/>
          <w:tab w:val="right" w:pos="9360"/>
        </w:tabs>
        <w:rPr>
          <w:kern w:val="0"/>
          <w14:ligatures w14:val="none"/>
        </w:rPr>
      </w:pPr>
      <w:r w:rsidRPr="00CA6FE5">
        <w:rPr>
          <w:kern w:val="0"/>
          <w14:ligatures w14:val="none"/>
        </w:rPr>
        <w:t xml:space="preserve">The role of Program sediment augmentation in the south channel of the Platte River </w:t>
      </w:r>
      <w:r w:rsidR="006066F2">
        <w:rPr>
          <w:kern w:val="0"/>
          <w14:ligatures w14:val="none"/>
        </w:rPr>
        <w:t xml:space="preserve">below </w:t>
      </w:r>
      <w:r w:rsidR="00032AFE">
        <w:rPr>
          <w:kern w:val="0"/>
          <w14:ligatures w14:val="none"/>
        </w:rPr>
        <w:t xml:space="preserve">the </w:t>
      </w:r>
      <w:r w:rsidR="006066F2">
        <w:rPr>
          <w:kern w:val="0"/>
          <w14:ligatures w14:val="none"/>
        </w:rPr>
        <w:t xml:space="preserve">J-2 Return </w:t>
      </w:r>
      <w:r w:rsidRPr="00CA6FE5">
        <w:rPr>
          <w:kern w:val="0"/>
          <w14:ligatures w14:val="none"/>
        </w:rPr>
        <w:t>in creating and/or maintaining suitable WC habitat.</w:t>
      </w:r>
    </w:p>
    <w:p w14:paraId="465989D4" w14:textId="77777777" w:rsidR="00FA541A" w:rsidRDefault="00CA6FE5" w:rsidP="00FA541A">
      <w:pPr>
        <w:numPr>
          <w:ilvl w:val="0"/>
          <w:numId w:val="23"/>
        </w:numPr>
        <w:tabs>
          <w:tab w:val="center" w:pos="4680"/>
          <w:tab w:val="right" w:pos="9360"/>
        </w:tabs>
        <w:rPr>
          <w:kern w:val="0"/>
          <w14:ligatures w14:val="none"/>
        </w:rPr>
      </w:pPr>
      <w:r w:rsidRPr="00CA6FE5">
        <w:rPr>
          <w:kern w:val="0"/>
          <w14:ligatures w14:val="none"/>
        </w:rPr>
        <w:t>The relationship between WC use and flow and the seasonal effects of flow on WC use.</w:t>
      </w:r>
    </w:p>
    <w:p w14:paraId="5A7BCEC9" w14:textId="05CA8B95" w:rsidR="00D17A2B" w:rsidRDefault="00CA6FE5" w:rsidP="00FA541A">
      <w:pPr>
        <w:numPr>
          <w:ilvl w:val="0"/>
          <w:numId w:val="23"/>
        </w:numPr>
        <w:tabs>
          <w:tab w:val="center" w:pos="4680"/>
          <w:tab w:val="right" w:pos="9360"/>
        </w:tabs>
        <w:rPr>
          <w:kern w:val="0"/>
          <w14:ligatures w14:val="none"/>
        </w:rPr>
      </w:pPr>
      <w:r w:rsidRPr="00CA6FE5">
        <w:rPr>
          <w:kern w:val="0"/>
          <w14:ligatures w14:val="none"/>
        </w:rPr>
        <w:t>The effect of Program flow management actions to benefit WC, PP, and LT in the central Platte River on pallid sturgeon use of the lower Platte River.</w:t>
      </w:r>
      <w:bookmarkStart w:id="49" w:name="Mainentance_Learning"/>
    </w:p>
    <w:p w14:paraId="1610E569" w14:textId="77777777" w:rsidR="00FA541A" w:rsidRPr="00FA541A" w:rsidRDefault="00FA541A" w:rsidP="00FA541A">
      <w:pPr>
        <w:tabs>
          <w:tab w:val="center" w:pos="4680"/>
          <w:tab w:val="right" w:pos="9360"/>
        </w:tabs>
        <w:rPr>
          <w:kern w:val="0"/>
          <w14:ligatures w14:val="none"/>
        </w:rPr>
      </w:pPr>
    </w:p>
    <w:p w14:paraId="1D24967E" w14:textId="27BB60C3" w:rsidR="00CA6FE5" w:rsidRPr="005B41A3" w:rsidRDefault="00CA6FE5" w:rsidP="008739CC">
      <w:pPr>
        <w:numPr>
          <w:ilvl w:val="0"/>
          <w:numId w:val="22"/>
        </w:numPr>
        <w:tabs>
          <w:tab w:val="center" w:pos="4680"/>
          <w:tab w:val="right" w:pos="9360"/>
        </w:tabs>
        <w:rPr>
          <w:b/>
          <w:bCs/>
          <w:color w:val="000000" w:themeColor="text1"/>
          <w:kern w:val="0"/>
          <w14:ligatures w14:val="none"/>
        </w:rPr>
      </w:pPr>
      <w:r w:rsidRPr="005B41A3">
        <w:rPr>
          <w:b/>
          <w:bCs/>
          <w:color w:val="000000" w:themeColor="text1"/>
          <w:kern w:val="0"/>
          <w14:ligatures w14:val="none"/>
        </w:rPr>
        <w:t xml:space="preserve">Maintenance Learning </w:t>
      </w:r>
      <w:bookmarkEnd w:id="49"/>
      <w:r w:rsidRPr="005B41A3">
        <w:rPr>
          <w:b/>
          <w:bCs/>
          <w:color w:val="000000" w:themeColor="text1"/>
          <w:kern w:val="0"/>
          <w14:ligatures w14:val="none"/>
        </w:rPr>
        <w:t>– improving and sustaining ongoing Program management actions</w:t>
      </w:r>
    </w:p>
    <w:p w14:paraId="1FAE16A0" w14:textId="37C4BAA1" w:rsidR="00CA6FE5" w:rsidRPr="00CA6FE5" w:rsidRDefault="00CA6FE5" w:rsidP="00CA6FE5">
      <w:pPr>
        <w:rPr>
          <w:kern w:val="0"/>
          <w14:ligatures w14:val="none"/>
        </w:rPr>
      </w:pPr>
      <w:r w:rsidRPr="00CA6FE5">
        <w:rPr>
          <w:kern w:val="0"/>
          <w14:ligatures w14:val="none"/>
        </w:rPr>
        <w:t>This Program science priority will focus on applying Program science to provide incremental refinements to ongoing Program management actions (primarily for piping plovers)</w:t>
      </w:r>
      <w:r w:rsidR="00197EC0">
        <w:rPr>
          <w:kern w:val="0"/>
          <w14:ligatures w14:val="none"/>
        </w:rPr>
        <w:t xml:space="preserve">. </w:t>
      </w:r>
      <w:r w:rsidRPr="00CA6FE5">
        <w:rPr>
          <w:kern w:val="0"/>
          <w14:ligatures w14:val="none"/>
        </w:rPr>
        <w:t>For the Extension, this science priority includes:</w:t>
      </w:r>
    </w:p>
    <w:p w14:paraId="74A6AA19" w14:textId="77777777" w:rsidR="00CA6FE5" w:rsidRDefault="00CA6FE5" w:rsidP="00CA6FE5">
      <w:pPr>
        <w:numPr>
          <w:ilvl w:val="0"/>
          <w:numId w:val="24"/>
        </w:numPr>
        <w:tabs>
          <w:tab w:val="center" w:pos="4680"/>
          <w:tab w:val="right" w:pos="9360"/>
        </w:tabs>
        <w:rPr>
          <w:kern w:val="0"/>
          <w14:ligatures w14:val="none"/>
        </w:rPr>
      </w:pPr>
      <w:r w:rsidRPr="00CA6FE5">
        <w:rPr>
          <w:kern w:val="0"/>
          <w14:ligatures w14:val="none"/>
        </w:rPr>
        <w:t>Investigating the effects of predation (mammals, reptiles, birds) on piping plover productivity (fledging) at Program-managed nesting sites.</w:t>
      </w:r>
    </w:p>
    <w:p w14:paraId="07DB6779" w14:textId="4ED6E117" w:rsidR="006F6A92" w:rsidRPr="00CA6FE5" w:rsidRDefault="006F6A92" w:rsidP="00CA6FE5">
      <w:pPr>
        <w:numPr>
          <w:ilvl w:val="0"/>
          <w:numId w:val="24"/>
        </w:numPr>
        <w:tabs>
          <w:tab w:val="center" w:pos="4680"/>
          <w:tab w:val="right" w:pos="9360"/>
        </w:tabs>
        <w:rPr>
          <w:kern w:val="0"/>
          <w14:ligatures w14:val="none"/>
        </w:rPr>
      </w:pPr>
      <w:r>
        <w:rPr>
          <w:kern w:val="0"/>
          <w14:ligatures w14:val="none"/>
        </w:rPr>
        <w:t>Evaluating effectiveness of Program management at mitigating losses of piping plover productivity due to predation.</w:t>
      </w:r>
    </w:p>
    <w:p w14:paraId="04BB4ACE" w14:textId="77777777" w:rsidR="00032AFE" w:rsidRDefault="00CA6FE5" w:rsidP="00F222A5">
      <w:pPr>
        <w:numPr>
          <w:ilvl w:val="0"/>
          <w:numId w:val="24"/>
        </w:numPr>
        <w:tabs>
          <w:tab w:val="center" w:pos="4680"/>
          <w:tab w:val="right" w:pos="9360"/>
        </w:tabs>
        <w:rPr>
          <w:kern w:val="0"/>
          <w14:ligatures w14:val="none"/>
        </w:rPr>
        <w:sectPr w:rsidR="00032AFE" w:rsidSect="005B280F">
          <w:pgSz w:w="12240" w:h="15840"/>
          <w:pgMar w:top="1440" w:right="1440" w:bottom="1440" w:left="1440" w:header="720" w:footer="720" w:gutter="0"/>
          <w:lnNumType w:countBy="1" w:restart="newSection"/>
          <w:cols w:space="720"/>
          <w:docGrid w:linePitch="360"/>
        </w:sectPr>
      </w:pPr>
      <w:r w:rsidRPr="00CA6FE5">
        <w:rPr>
          <w:kern w:val="0"/>
          <w14:ligatures w14:val="none"/>
        </w:rPr>
        <w:t>Complete research to provide a deeper understanding of the physical processes through which hydrological and meteorological variables affect groundwater levels to impact wet meadows.</w:t>
      </w:r>
      <w:bookmarkStart w:id="50" w:name="Extension_Big_Questions"/>
    </w:p>
    <w:p w14:paraId="1BF3F60C" w14:textId="2797CCD2" w:rsidR="00FA541A" w:rsidRPr="00032AFE" w:rsidRDefault="00CA6FE5" w:rsidP="00032AFE">
      <w:pPr>
        <w:pStyle w:val="Heading1"/>
        <w:rPr>
          <w:kern w:val="0"/>
          <w14:ligatures w14:val="none"/>
        </w:rPr>
      </w:pPr>
      <w:bookmarkStart w:id="51" w:name="_Toc157060206"/>
      <w:r w:rsidRPr="00CA6FE5">
        <w:t>E</w:t>
      </w:r>
      <w:r w:rsidR="000F10F9">
        <w:t>xtension</w:t>
      </w:r>
      <w:r w:rsidRPr="00CA6FE5">
        <w:t xml:space="preserve"> “B</w:t>
      </w:r>
      <w:r w:rsidR="000F10F9">
        <w:t>ig</w:t>
      </w:r>
      <w:r w:rsidRPr="00CA6FE5">
        <w:t xml:space="preserve"> Q</w:t>
      </w:r>
      <w:r w:rsidR="000F10F9">
        <w:t>uestions</w:t>
      </w:r>
      <w:r w:rsidRPr="00CA6FE5">
        <w:t>”</w:t>
      </w:r>
      <w:bookmarkEnd w:id="50"/>
      <w:bookmarkEnd w:id="51"/>
    </w:p>
    <w:p w14:paraId="4B6B16B7" w14:textId="2ECBA9B8" w:rsidR="00CA6FE5" w:rsidRDefault="00FA541A" w:rsidP="00FA541A">
      <w:pPr>
        <w:tabs>
          <w:tab w:val="center" w:pos="4680"/>
          <w:tab w:val="right" w:pos="9360"/>
        </w:tabs>
        <w:rPr>
          <w:kern w:val="0"/>
          <w14:ligatures w14:val="none"/>
        </w:rPr>
      </w:pPr>
      <w:r w:rsidRPr="00197EC0">
        <w:rPr>
          <w:kern w:val="0"/>
          <w14:ligatures w14:val="none"/>
        </w:rPr>
        <w:t>Th</w:t>
      </w:r>
      <w:r w:rsidR="00CA6FE5" w:rsidRPr="00197EC0">
        <w:rPr>
          <w:kern w:val="0"/>
          <w14:ligatures w14:val="none"/>
        </w:rPr>
        <w:t xml:space="preserve">e </w:t>
      </w:r>
      <w:r w:rsidR="00CA6FE5" w:rsidRPr="00CA6FE5">
        <w:rPr>
          <w:kern w:val="0"/>
          <w14:ligatures w14:val="none"/>
        </w:rPr>
        <w:t xml:space="preserve">following set of </w:t>
      </w:r>
      <w:r>
        <w:rPr>
          <w:kern w:val="0"/>
          <w14:ligatures w14:val="none"/>
        </w:rPr>
        <w:t>Extension Big Questions (EBQ</w:t>
      </w:r>
      <w:r w:rsidR="00913F56">
        <w:rPr>
          <w:kern w:val="0"/>
          <w14:ligatures w14:val="none"/>
        </w:rPr>
        <w:t>s</w:t>
      </w:r>
      <w:r>
        <w:rPr>
          <w:kern w:val="0"/>
          <w14:ligatures w14:val="none"/>
        </w:rPr>
        <w:t xml:space="preserve">), </w:t>
      </w:r>
      <w:r w:rsidR="00CA6FE5" w:rsidRPr="00CA6FE5">
        <w:rPr>
          <w:kern w:val="0"/>
          <w14:ligatures w14:val="none"/>
        </w:rPr>
        <w:t xml:space="preserve">organized by science priority categories, are intended to serve as common organizing questions for addressing key areas of uncertainty for the Program and also to serve as a device for communicating with the GC on how science learning connects to decision-making. New </w:t>
      </w:r>
      <w:r w:rsidR="00A02035">
        <w:rPr>
          <w:kern w:val="0"/>
          <w14:ligatures w14:val="none"/>
        </w:rPr>
        <w:t>EBQ</w:t>
      </w:r>
      <w:r w:rsidR="00913F56">
        <w:rPr>
          <w:kern w:val="0"/>
          <w14:ligatures w14:val="none"/>
        </w:rPr>
        <w:t>s</w:t>
      </w:r>
      <w:r w:rsidR="00CA6FE5" w:rsidRPr="00CA6FE5">
        <w:rPr>
          <w:kern w:val="0"/>
          <w14:ligatures w14:val="none"/>
        </w:rPr>
        <w:t xml:space="preserve"> or additional specific hypotheses may be added over time once questions are conclusively answered or if science learning points the Program in a different direction.</w:t>
      </w:r>
    </w:p>
    <w:p w14:paraId="33086C4F" w14:textId="77777777" w:rsidR="00A02035" w:rsidRDefault="00A02035" w:rsidP="001833ED"/>
    <w:p w14:paraId="3AF0D98D" w14:textId="78B4F20D" w:rsidR="001833ED" w:rsidRDefault="001833ED" w:rsidP="001833ED">
      <w:r w:rsidRPr="00380C51">
        <w:t xml:space="preserve">To assist the GC with quickly evaluating the </w:t>
      </w:r>
      <w:r>
        <w:t xml:space="preserve">2024 EBQ </w:t>
      </w:r>
      <w:r w:rsidR="00913F56">
        <w:t>A</w:t>
      </w:r>
      <w:r w:rsidRPr="00380C51">
        <w:t xml:space="preserve">ssessments, the icons </w:t>
      </w:r>
      <w:r w:rsidR="00CF77EE">
        <w:t xml:space="preserve">defined </w:t>
      </w:r>
      <w:r w:rsidRPr="00380C51">
        <w:t xml:space="preserve">in </w:t>
      </w:r>
      <w:r w:rsidRPr="00810634">
        <w:rPr>
          <w:b/>
          <w:bCs/>
        </w:rPr>
        <w:t xml:space="preserve">Table </w:t>
      </w:r>
      <w:r w:rsidR="00810634" w:rsidRPr="00810634">
        <w:rPr>
          <w:b/>
          <w:bCs/>
        </w:rPr>
        <w:t>2</w:t>
      </w:r>
      <w:r w:rsidRPr="00380C51">
        <w:t xml:space="preserve"> are used to visually summarize the basic conclusion for each question</w:t>
      </w:r>
      <w:r w:rsidR="00244B8F" w:rsidRPr="00380C51">
        <w:t xml:space="preserve">. </w:t>
      </w:r>
      <w:r w:rsidRPr="00380C51">
        <w:t>Thumbs up</w:t>
      </w:r>
      <w:r>
        <w:t xml:space="preserve"> (</w:t>
      </w:r>
      <w:r w:rsidRPr="00415755">
        <w:rPr>
          <w:b/>
          <w:bCs/>
          <w:color w:val="92D050"/>
        </w:rPr>
        <w:t>green</w:t>
      </w:r>
      <w:r>
        <w:t>)</w:t>
      </w:r>
      <w:r w:rsidRPr="00380C51">
        <w:t xml:space="preserve"> or down</w:t>
      </w:r>
      <w:r>
        <w:t xml:space="preserve"> (</w:t>
      </w:r>
      <w:r w:rsidRPr="00415755">
        <w:rPr>
          <w:b/>
          <w:bCs/>
          <w:color w:val="FF0000"/>
        </w:rPr>
        <w:t>red</w:t>
      </w:r>
      <w:r>
        <w:t>)</w:t>
      </w:r>
      <w:r w:rsidRPr="00380C51">
        <w:t xml:space="preserve"> indicate a trend in the affirmative or negative and may point to the need to re-evaluate management actions based on collected data and analysis.</w:t>
      </w:r>
      <w:r>
        <w:t xml:space="preserve"> A</w:t>
      </w:r>
      <w:r w:rsidR="00415755">
        <w:t xml:space="preserve"> question mark</w:t>
      </w:r>
      <w:r>
        <w:t xml:space="preserve"> </w:t>
      </w:r>
      <w:r w:rsidR="00415755">
        <w:t>(</w:t>
      </w:r>
      <w:r w:rsidR="00224027">
        <w:rPr>
          <w:b/>
          <w:bCs/>
          <w:color w:val="000000" w:themeColor="text1"/>
        </w:rPr>
        <w:t>black</w:t>
      </w:r>
      <w:r w:rsidR="00415755">
        <w:t xml:space="preserve">) </w:t>
      </w:r>
      <w:r w:rsidRPr="00380C51">
        <w:t>is used when there is not enough evidence to indicate a trend in either direction or more time is needed to collect appropriate data and conduct analyses</w:t>
      </w:r>
      <w:r w:rsidR="00244B8F" w:rsidRPr="00380C51">
        <w:t xml:space="preserve">. </w:t>
      </w:r>
      <w:r w:rsidRPr="00380C51">
        <w:t>These icons are intended to provide the GC with a quick and visual means to see where the Program stands each year in moving towards resolution of the most significant scientific questions as they relate to management decision-making.</w:t>
      </w:r>
    </w:p>
    <w:p w14:paraId="44D6DA8D" w14:textId="77777777" w:rsidR="001833ED" w:rsidRPr="003102D2" w:rsidRDefault="001833ED" w:rsidP="001833ED">
      <w:pPr>
        <w:rPr>
          <w:rFonts w:asciiTheme="minorHAnsi" w:hAnsiTheme="minorHAnsi" w:cstheme="minorHAnsi"/>
        </w:rPr>
      </w:pPr>
    </w:p>
    <w:p w14:paraId="018B3562" w14:textId="7996A838" w:rsidR="001833ED" w:rsidRPr="003102D2" w:rsidRDefault="001833ED" w:rsidP="002A0D16">
      <w:pPr>
        <w:pStyle w:val="Heading2"/>
      </w:pPr>
      <w:bookmarkStart w:id="52" w:name="_Toc157060207"/>
      <w:r w:rsidRPr="003102D2">
        <w:t xml:space="preserve">Table </w:t>
      </w:r>
      <w:r w:rsidR="00810634">
        <w:t>2</w:t>
      </w:r>
      <w:r w:rsidRPr="003102D2">
        <w:t>. Quick Reference</w:t>
      </w:r>
      <w:r w:rsidR="002A0D16">
        <w:t xml:space="preserve"> L</w:t>
      </w:r>
      <w:r w:rsidRPr="003102D2">
        <w:t xml:space="preserve">egend </w:t>
      </w:r>
      <w:r w:rsidR="002A0D16">
        <w:t>E</w:t>
      </w:r>
      <w:r w:rsidRPr="003102D2">
        <w:t xml:space="preserve">xplaining </w:t>
      </w:r>
      <w:r w:rsidR="002A0D16">
        <w:t>I</w:t>
      </w:r>
      <w:r w:rsidRPr="003102D2">
        <w:t xml:space="preserve">cons </w:t>
      </w:r>
      <w:r w:rsidR="002A0D16">
        <w:t>U</w:t>
      </w:r>
      <w:r w:rsidRPr="003102D2">
        <w:t xml:space="preserve">sed to </w:t>
      </w:r>
      <w:r w:rsidR="002A0D16">
        <w:t>A</w:t>
      </w:r>
      <w:r w:rsidRPr="003102D2">
        <w:t xml:space="preserve">ssess </w:t>
      </w:r>
      <w:r>
        <w:t>EBQs</w:t>
      </w:r>
      <w:r w:rsidRPr="003102D2">
        <w:t>.</w:t>
      </w:r>
      <w:bookmarkEnd w:id="52"/>
    </w:p>
    <w:p w14:paraId="548BA221" w14:textId="77777777" w:rsidR="001833ED" w:rsidRDefault="001833ED" w:rsidP="001833ED"/>
    <w:tbl>
      <w:tblPr>
        <w:tblStyle w:val="TableGrid6"/>
        <w:tblW w:w="9265" w:type="dxa"/>
        <w:jc w:val="center"/>
        <w:tblLook w:val="04A0" w:firstRow="1" w:lastRow="0" w:firstColumn="1" w:lastColumn="0" w:noHBand="0" w:noVBand="1"/>
      </w:tblPr>
      <w:tblGrid>
        <w:gridCol w:w="1345"/>
        <w:gridCol w:w="7920"/>
      </w:tblGrid>
      <w:tr w:rsidR="001833ED" w:rsidRPr="006F39D9" w14:paraId="6D8AB6EE" w14:textId="77777777" w:rsidTr="00CB4B41">
        <w:trPr>
          <w:trHeight w:val="182"/>
          <w:jc w:val="center"/>
        </w:trPr>
        <w:tc>
          <w:tcPr>
            <w:tcW w:w="1345" w:type="dxa"/>
            <w:shd w:val="clear" w:color="auto" w:fill="76923C"/>
            <w:vAlign w:val="center"/>
          </w:tcPr>
          <w:p w14:paraId="0BD7A84E" w14:textId="77777777" w:rsidR="001833ED" w:rsidRPr="006F39D9" w:rsidRDefault="001833ED" w:rsidP="00A62500">
            <w:pPr>
              <w:jc w:val="center"/>
              <w:rPr>
                <w:rFonts w:asciiTheme="minorHAnsi" w:hAnsiTheme="minorHAnsi" w:cstheme="minorHAnsi"/>
                <w:b/>
                <w:noProof/>
                <w:sz w:val="18"/>
                <w:szCs w:val="18"/>
              </w:rPr>
            </w:pPr>
            <w:r w:rsidRPr="006F39D9">
              <w:rPr>
                <w:rFonts w:asciiTheme="minorHAnsi" w:hAnsiTheme="minorHAnsi" w:cstheme="minorHAnsi"/>
                <w:b/>
                <w:noProof/>
                <w:sz w:val="18"/>
                <w:szCs w:val="18"/>
              </w:rPr>
              <w:t>Icon</w:t>
            </w:r>
          </w:p>
        </w:tc>
        <w:tc>
          <w:tcPr>
            <w:tcW w:w="7920" w:type="dxa"/>
            <w:shd w:val="clear" w:color="auto" w:fill="76923C"/>
            <w:vAlign w:val="center"/>
          </w:tcPr>
          <w:p w14:paraId="6B606EE2" w14:textId="77777777" w:rsidR="001833ED" w:rsidRPr="006F39D9" w:rsidRDefault="001833ED" w:rsidP="00A62500">
            <w:pPr>
              <w:ind w:left="360"/>
              <w:jc w:val="center"/>
              <w:rPr>
                <w:rFonts w:asciiTheme="minorHAnsi" w:hAnsiTheme="minorHAnsi" w:cstheme="minorHAnsi"/>
                <w:b/>
                <w:sz w:val="18"/>
                <w:szCs w:val="18"/>
              </w:rPr>
            </w:pPr>
            <w:r w:rsidRPr="006F39D9">
              <w:rPr>
                <w:rFonts w:asciiTheme="minorHAnsi" w:hAnsiTheme="minorHAnsi" w:cstheme="minorHAnsi"/>
                <w:b/>
                <w:sz w:val="18"/>
                <w:szCs w:val="18"/>
              </w:rPr>
              <w:t>Trend or Answer Explained by Icon</w:t>
            </w:r>
          </w:p>
        </w:tc>
      </w:tr>
      <w:tr w:rsidR="001833ED" w:rsidRPr="006F39D9" w14:paraId="716CE780" w14:textId="77777777" w:rsidTr="00CB4B41">
        <w:trPr>
          <w:trHeight w:val="612"/>
          <w:jc w:val="center"/>
        </w:trPr>
        <w:tc>
          <w:tcPr>
            <w:tcW w:w="1345" w:type="dxa"/>
            <w:vAlign w:val="center"/>
          </w:tcPr>
          <w:p w14:paraId="7D98B8C6" w14:textId="77777777" w:rsidR="001833ED" w:rsidRPr="006F39D9" w:rsidRDefault="001833ED" w:rsidP="00A62500">
            <w:pPr>
              <w:jc w:val="center"/>
              <w:rPr>
                <w:rFonts w:asciiTheme="minorHAnsi" w:hAnsiTheme="minorHAnsi" w:cstheme="minorHAnsi"/>
                <w:b/>
                <w:sz w:val="18"/>
                <w:szCs w:val="18"/>
              </w:rPr>
            </w:pPr>
            <w:r w:rsidRPr="006F39D9">
              <w:rPr>
                <w:rFonts w:asciiTheme="minorHAnsi" w:hAnsiTheme="minorHAnsi" w:cstheme="minorHAnsi"/>
                <w:noProof/>
                <w:sz w:val="18"/>
                <w:szCs w:val="18"/>
              </w:rPr>
              <w:drawing>
                <wp:inline distT="0" distB="0" distL="0" distR="0" wp14:anchorId="06A05B94" wp14:editId="50E5FF00">
                  <wp:extent cx="270933" cy="270933"/>
                  <wp:effectExtent l="0" t="0" r="0" b="0"/>
                  <wp:docPr id="761207071" name="Graphic 761207071"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r w:rsidRPr="006F39D9">
              <w:rPr>
                <w:rFonts w:asciiTheme="minorHAnsi" w:hAnsiTheme="minorHAnsi" w:cstheme="minorHAnsi"/>
                <w:noProof/>
                <w:sz w:val="18"/>
                <w:szCs w:val="18"/>
              </w:rPr>
              <w:drawing>
                <wp:inline distT="0" distB="0" distL="0" distR="0" wp14:anchorId="227492B8" wp14:editId="6D2D7003">
                  <wp:extent cx="270933" cy="270933"/>
                  <wp:effectExtent l="0" t="0" r="0" b="0"/>
                  <wp:docPr id="903855533" name="Graphic 903855533"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p>
        </w:tc>
        <w:tc>
          <w:tcPr>
            <w:tcW w:w="7920" w:type="dxa"/>
          </w:tcPr>
          <w:p w14:paraId="66F58EEB" w14:textId="77777777" w:rsidR="001833ED" w:rsidRPr="006F39D9" w:rsidRDefault="001833ED" w:rsidP="00A62500">
            <w:pPr>
              <w:numPr>
                <w:ilvl w:val="0"/>
                <w:numId w:val="1"/>
              </w:numPr>
              <w:jc w:val="both"/>
              <w:rPr>
                <w:rFonts w:asciiTheme="minorHAnsi" w:hAnsiTheme="minorHAnsi" w:cstheme="minorHAnsi"/>
                <w:b/>
                <w:sz w:val="18"/>
                <w:szCs w:val="18"/>
              </w:rPr>
            </w:pPr>
            <w:r>
              <w:rPr>
                <w:rFonts w:asciiTheme="minorHAnsi" w:hAnsiTheme="minorHAnsi" w:cstheme="minorHAnsi"/>
                <w:sz w:val="18"/>
                <w:szCs w:val="18"/>
              </w:rPr>
              <w:t xml:space="preserve">EBQ </w:t>
            </w:r>
            <w:r w:rsidRPr="006F39D9">
              <w:rPr>
                <w:rFonts w:asciiTheme="minorHAnsi" w:hAnsiTheme="minorHAnsi" w:cstheme="minorHAnsi"/>
                <w:sz w:val="18"/>
                <w:szCs w:val="18"/>
              </w:rPr>
              <w:t xml:space="preserve">and underlying hypotheses </w:t>
            </w:r>
            <w:r w:rsidRPr="006F39D9">
              <w:rPr>
                <w:rFonts w:asciiTheme="minorHAnsi" w:hAnsiTheme="minorHAnsi" w:cstheme="minorHAnsi"/>
                <w:b/>
                <w:sz w:val="18"/>
                <w:szCs w:val="18"/>
              </w:rPr>
              <w:t>answered conclusively</w:t>
            </w:r>
            <w:r w:rsidRPr="006F39D9">
              <w:rPr>
                <w:rFonts w:asciiTheme="minorHAnsi" w:hAnsiTheme="minorHAnsi" w:cstheme="minorHAnsi"/>
                <w:sz w:val="18"/>
                <w:szCs w:val="18"/>
              </w:rPr>
              <w:t xml:space="preserve"> in the </w:t>
            </w:r>
            <w:r w:rsidRPr="006F39D9">
              <w:rPr>
                <w:rFonts w:asciiTheme="minorHAnsi" w:hAnsiTheme="minorHAnsi" w:cstheme="minorHAnsi"/>
                <w:b/>
                <w:sz w:val="18"/>
                <w:szCs w:val="18"/>
              </w:rPr>
              <w:t>affirmative</w:t>
            </w:r>
          </w:p>
          <w:p w14:paraId="7578CB79"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Foundational documents, analysis, and other references on which this assessment is based have undergone peer review through the PRRIP peer review process and/or publication in refereed journals</w:t>
            </w:r>
          </w:p>
          <w:p w14:paraId="3622D5B2"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G</w:t>
            </w:r>
            <w:r>
              <w:rPr>
                <w:rFonts w:asciiTheme="minorHAnsi" w:hAnsiTheme="minorHAnsi" w:cstheme="minorHAnsi"/>
                <w:sz w:val="18"/>
                <w:szCs w:val="18"/>
              </w:rPr>
              <w:t xml:space="preserve">C </w:t>
            </w:r>
            <w:r w:rsidRPr="006F39D9">
              <w:rPr>
                <w:rFonts w:asciiTheme="minorHAnsi" w:hAnsiTheme="minorHAnsi" w:cstheme="minorHAnsi"/>
                <w:sz w:val="18"/>
                <w:szCs w:val="18"/>
              </w:rPr>
              <w:t>should consider adjustments to decisions related to PRRIP management actions</w:t>
            </w:r>
          </w:p>
        </w:tc>
      </w:tr>
      <w:tr w:rsidR="001833ED" w:rsidRPr="006F39D9" w14:paraId="68BE0DE0" w14:textId="77777777" w:rsidTr="00CB4B41">
        <w:trPr>
          <w:trHeight w:val="489"/>
          <w:jc w:val="center"/>
        </w:trPr>
        <w:tc>
          <w:tcPr>
            <w:tcW w:w="1345" w:type="dxa"/>
            <w:vAlign w:val="center"/>
          </w:tcPr>
          <w:p w14:paraId="79FA1188" w14:textId="77777777" w:rsidR="001833ED" w:rsidRPr="006F39D9" w:rsidRDefault="001833ED" w:rsidP="00A62500">
            <w:pPr>
              <w:jc w:val="center"/>
              <w:rPr>
                <w:rFonts w:asciiTheme="minorHAnsi" w:hAnsiTheme="minorHAnsi" w:cstheme="minorHAnsi"/>
                <w:b/>
                <w:sz w:val="18"/>
                <w:szCs w:val="18"/>
              </w:rPr>
            </w:pPr>
            <w:r w:rsidRPr="006F39D9">
              <w:rPr>
                <w:rFonts w:asciiTheme="minorHAnsi" w:hAnsiTheme="minorHAnsi" w:cstheme="minorHAnsi"/>
                <w:noProof/>
                <w:sz w:val="18"/>
                <w:szCs w:val="18"/>
              </w:rPr>
              <w:drawing>
                <wp:inline distT="0" distB="0" distL="0" distR="0" wp14:anchorId="032F14C3" wp14:editId="403C1F15">
                  <wp:extent cx="270933" cy="270933"/>
                  <wp:effectExtent l="0" t="0" r="0" b="0"/>
                  <wp:docPr id="1550513165" name="Graphic 1550513165"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p>
        </w:tc>
        <w:tc>
          <w:tcPr>
            <w:tcW w:w="7920" w:type="dxa"/>
          </w:tcPr>
          <w:p w14:paraId="097F8E50"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 xml:space="preserve">Affirmative answer or trend, but </w:t>
            </w:r>
            <w:r>
              <w:rPr>
                <w:rFonts w:asciiTheme="minorHAnsi" w:hAnsiTheme="minorHAnsi" w:cstheme="minorHAnsi"/>
                <w:sz w:val="18"/>
                <w:szCs w:val="18"/>
              </w:rPr>
              <w:t xml:space="preserve">EBQ </w:t>
            </w:r>
            <w:r w:rsidRPr="006F39D9">
              <w:rPr>
                <w:rFonts w:asciiTheme="minorHAnsi" w:hAnsiTheme="minorHAnsi" w:cstheme="minorHAnsi"/>
                <w:sz w:val="18"/>
                <w:szCs w:val="18"/>
              </w:rPr>
              <w:t xml:space="preserve">and underlying hypotheses </w:t>
            </w:r>
            <w:r w:rsidRPr="006F39D9">
              <w:rPr>
                <w:rFonts w:asciiTheme="minorHAnsi" w:hAnsiTheme="minorHAnsi" w:cstheme="minorHAnsi"/>
                <w:b/>
                <w:sz w:val="18"/>
                <w:szCs w:val="18"/>
              </w:rPr>
              <w:t>NOT answered conclusively</w:t>
            </w:r>
          </w:p>
          <w:p w14:paraId="7D8348EF"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Assessment can be based on draft documents and analysis, but peer review and/or publication may be pending</w:t>
            </w:r>
          </w:p>
          <w:p w14:paraId="3091E9AB"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To the extent possible, consider what information is necessary to change this designation</w:t>
            </w:r>
          </w:p>
        </w:tc>
      </w:tr>
      <w:tr w:rsidR="001833ED" w:rsidRPr="006F39D9" w14:paraId="7A3BB013" w14:textId="77777777" w:rsidTr="00CB4B41">
        <w:trPr>
          <w:trHeight w:val="651"/>
          <w:jc w:val="center"/>
        </w:trPr>
        <w:tc>
          <w:tcPr>
            <w:tcW w:w="1345" w:type="dxa"/>
            <w:vAlign w:val="center"/>
          </w:tcPr>
          <w:p w14:paraId="5E273286" w14:textId="77777777" w:rsidR="001833ED" w:rsidRPr="006F39D9" w:rsidRDefault="001833ED" w:rsidP="00A62500">
            <w:pPr>
              <w:jc w:val="center"/>
              <w:rPr>
                <w:rFonts w:asciiTheme="minorHAnsi" w:hAnsiTheme="minorHAnsi" w:cstheme="minorHAnsi"/>
                <w:b/>
                <w:sz w:val="18"/>
                <w:szCs w:val="18"/>
              </w:rPr>
            </w:pPr>
            <w:r w:rsidRPr="006F39D9">
              <w:rPr>
                <w:rFonts w:asciiTheme="minorHAnsi" w:hAnsiTheme="minorHAnsi" w:cstheme="minorHAnsi"/>
                <w:noProof/>
                <w:sz w:val="18"/>
                <w:szCs w:val="18"/>
              </w:rPr>
              <w:drawing>
                <wp:inline distT="0" distB="0" distL="0" distR="0" wp14:anchorId="5D8142D8" wp14:editId="484BB349">
                  <wp:extent cx="208016" cy="208016"/>
                  <wp:effectExtent l="0" t="0" r="0" b="1905"/>
                  <wp:docPr id="579051325" name="Picture 16"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208016" cy="208016"/>
                          </a:xfrm>
                          <a:prstGeom prst="rect">
                            <a:avLst/>
                          </a:prstGeom>
                        </pic:spPr>
                      </pic:pic>
                    </a:graphicData>
                  </a:graphic>
                </wp:inline>
              </w:drawing>
            </w:r>
          </w:p>
        </w:tc>
        <w:tc>
          <w:tcPr>
            <w:tcW w:w="7920" w:type="dxa"/>
          </w:tcPr>
          <w:p w14:paraId="20CA2AF4" w14:textId="77777777" w:rsidR="001833ED" w:rsidRPr="006F39D9" w:rsidRDefault="001833ED" w:rsidP="00A62500">
            <w:pPr>
              <w:numPr>
                <w:ilvl w:val="0"/>
                <w:numId w:val="1"/>
              </w:numPr>
              <w:jc w:val="both"/>
              <w:rPr>
                <w:rFonts w:asciiTheme="minorHAnsi" w:hAnsiTheme="minorHAnsi" w:cstheme="minorHAnsi"/>
                <w:sz w:val="18"/>
                <w:szCs w:val="18"/>
              </w:rPr>
            </w:pPr>
            <w:r w:rsidRPr="006F39D9">
              <w:rPr>
                <w:rFonts w:asciiTheme="minorHAnsi" w:hAnsiTheme="minorHAnsi" w:cstheme="minorHAnsi"/>
                <w:sz w:val="18"/>
                <w:szCs w:val="18"/>
              </w:rPr>
              <w:t xml:space="preserve">Evidence thus far is </w:t>
            </w:r>
            <w:r w:rsidRPr="006F39D9">
              <w:rPr>
                <w:rFonts w:asciiTheme="minorHAnsi" w:hAnsiTheme="minorHAnsi" w:cstheme="minorHAnsi"/>
                <w:b/>
                <w:sz w:val="18"/>
                <w:szCs w:val="18"/>
              </w:rPr>
              <w:t>inconclusive</w:t>
            </w:r>
            <w:r w:rsidRPr="006F39D9">
              <w:rPr>
                <w:rFonts w:asciiTheme="minorHAnsi" w:hAnsiTheme="minorHAnsi" w:cstheme="minorHAnsi"/>
                <w:sz w:val="18"/>
                <w:szCs w:val="18"/>
              </w:rPr>
              <w:t>; no affirmative or negative answer/trend to</w:t>
            </w:r>
            <w:r>
              <w:rPr>
                <w:rFonts w:asciiTheme="minorHAnsi" w:hAnsiTheme="minorHAnsi" w:cstheme="minorHAnsi"/>
                <w:sz w:val="18"/>
                <w:szCs w:val="18"/>
              </w:rPr>
              <w:t xml:space="preserve"> EBQ </w:t>
            </w:r>
            <w:r w:rsidRPr="006F39D9">
              <w:rPr>
                <w:rFonts w:asciiTheme="minorHAnsi" w:hAnsiTheme="minorHAnsi" w:cstheme="minorHAnsi"/>
                <w:sz w:val="18"/>
                <w:szCs w:val="18"/>
              </w:rPr>
              <w:t>and underlying hypotheses</w:t>
            </w:r>
          </w:p>
          <w:p w14:paraId="06DE982E"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Assessment can be based on draft documents and analysis, but peer review and/or publication may be pending</w:t>
            </w:r>
          </w:p>
          <w:p w14:paraId="2480BF68" w14:textId="77777777" w:rsidR="001833ED" w:rsidRPr="006F39D9" w:rsidRDefault="001833ED" w:rsidP="00A62500">
            <w:pPr>
              <w:numPr>
                <w:ilvl w:val="0"/>
                <w:numId w:val="1"/>
              </w:numPr>
              <w:jc w:val="both"/>
              <w:rPr>
                <w:rFonts w:asciiTheme="minorHAnsi" w:hAnsiTheme="minorHAnsi" w:cstheme="minorHAnsi"/>
                <w:sz w:val="18"/>
                <w:szCs w:val="18"/>
              </w:rPr>
            </w:pPr>
            <w:r w:rsidRPr="006F39D9">
              <w:rPr>
                <w:rFonts w:asciiTheme="minorHAnsi" w:hAnsiTheme="minorHAnsi" w:cstheme="minorHAnsi"/>
                <w:sz w:val="18"/>
                <w:szCs w:val="18"/>
              </w:rPr>
              <w:t>To the extent possible, consider what information is necessary to change this designation</w:t>
            </w:r>
          </w:p>
        </w:tc>
      </w:tr>
      <w:tr w:rsidR="001833ED" w:rsidRPr="006F39D9" w14:paraId="1FA28A8A" w14:textId="77777777" w:rsidTr="00CB4B41">
        <w:trPr>
          <w:trHeight w:val="489"/>
          <w:jc w:val="center"/>
        </w:trPr>
        <w:tc>
          <w:tcPr>
            <w:tcW w:w="1345" w:type="dxa"/>
            <w:vAlign w:val="center"/>
          </w:tcPr>
          <w:p w14:paraId="5EDECB0D" w14:textId="77777777" w:rsidR="001833ED" w:rsidRPr="006F39D9" w:rsidRDefault="001833ED" w:rsidP="00A62500">
            <w:pPr>
              <w:jc w:val="center"/>
              <w:rPr>
                <w:rFonts w:asciiTheme="minorHAnsi" w:hAnsiTheme="minorHAnsi" w:cstheme="minorHAnsi"/>
                <w:b/>
                <w:sz w:val="18"/>
                <w:szCs w:val="18"/>
              </w:rPr>
            </w:pPr>
            <w:r w:rsidRPr="006F39D9">
              <w:rPr>
                <w:rFonts w:asciiTheme="minorHAnsi" w:hAnsiTheme="minorHAnsi" w:cstheme="minorHAnsi"/>
                <w:b/>
                <w:i/>
                <w:noProof/>
                <w:sz w:val="18"/>
                <w:szCs w:val="18"/>
              </w:rPr>
              <w:drawing>
                <wp:inline distT="0" distB="0" distL="0" distR="0" wp14:anchorId="48BEDED8" wp14:editId="5D77D564">
                  <wp:extent cx="301515" cy="301515"/>
                  <wp:effectExtent l="0" t="0" r="3810" b="3810"/>
                  <wp:docPr id="2024848572" name="Picture 322"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Thumbs Down with solid fill"/>
                          <pic:cNvPicPr>
                            <a:picLocks noChangeAspect="1" noChangeArrowheads="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301515" cy="301515"/>
                          </a:xfrm>
                          <a:prstGeom prst="rect">
                            <a:avLst/>
                          </a:prstGeom>
                        </pic:spPr>
                      </pic:pic>
                    </a:graphicData>
                  </a:graphic>
                </wp:inline>
              </w:drawing>
            </w:r>
          </w:p>
        </w:tc>
        <w:tc>
          <w:tcPr>
            <w:tcW w:w="7920" w:type="dxa"/>
          </w:tcPr>
          <w:p w14:paraId="24209F32" w14:textId="77777777" w:rsidR="001833ED" w:rsidRPr="006F39D9" w:rsidRDefault="001833ED" w:rsidP="00A62500">
            <w:pPr>
              <w:numPr>
                <w:ilvl w:val="0"/>
                <w:numId w:val="1"/>
              </w:numPr>
              <w:jc w:val="both"/>
              <w:rPr>
                <w:rFonts w:asciiTheme="minorHAnsi" w:hAnsiTheme="minorHAnsi" w:cstheme="minorHAnsi"/>
                <w:sz w:val="18"/>
                <w:szCs w:val="18"/>
              </w:rPr>
            </w:pPr>
            <w:r w:rsidRPr="006F39D9">
              <w:rPr>
                <w:rFonts w:asciiTheme="minorHAnsi" w:hAnsiTheme="minorHAnsi" w:cstheme="minorHAnsi"/>
                <w:sz w:val="18"/>
                <w:szCs w:val="18"/>
              </w:rPr>
              <w:t xml:space="preserve">Negative answer or trend, but </w:t>
            </w:r>
            <w:r>
              <w:rPr>
                <w:rFonts w:asciiTheme="minorHAnsi" w:hAnsiTheme="minorHAnsi" w:cstheme="minorHAnsi"/>
                <w:sz w:val="18"/>
                <w:szCs w:val="18"/>
              </w:rPr>
              <w:t xml:space="preserve">EBQ </w:t>
            </w:r>
            <w:r w:rsidRPr="006F39D9">
              <w:rPr>
                <w:rFonts w:asciiTheme="minorHAnsi" w:hAnsiTheme="minorHAnsi" w:cstheme="minorHAnsi"/>
                <w:sz w:val="18"/>
                <w:szCs w:val="18"/>
              </w:rPr>
              <w:t xml:space="preserve">and underlying hypotheses </w:t>
            </w:r>
            <w:r w:rsidRPr="006F39D9">
              <w:rPr>
                <w:rFonts w:asciiTheme="minorHAnsi" w:hAnsiTheme="minorHAnsi" w:cstheme="minorHAnsi"/>
                <w:b/>
                <w:sz w:val="18"/>
                <w:szCs w:val="18"/>
              </w:rPr>
              <w:t>NOT answered conclusively</w:t>
            </w:r>
          </w:p>
          <w:p w14:paraId="1288031B"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Assessment can be based on draft documents and analysis, but peer review and/or publication may be pending</w:t>
            </w:r>
          </w:p>
          <w:p w14:paraId="06EBD04B" w14:textId="77777777" w:rsidR="001833ED" w:rsidRPr="006F39D9" w:rsidRDefault="001833ED" w:rsidP="00A62500">
            <w:pPr>
              <w:numPr>
                <w:ilvl w:val="0"/>
                <w:numId w:val="1"/>
              </w:numPr>
              <w:jc w:val="both"/>
              <w:rPr>
                <w:rFonts w:asciiTheme="minorHAnsi" w:hAnsiTheme="minorHAnsi" w:cstheme="minorHAnsi"/>
                <w:sz w:val="18"/>
                <w:szCs w:val="18"/>
              </w:rPr>
            </w:pPr>
            <w:r w:rsidRPr="006F39D9">
              <w:rPr>
                <w:rFonts w:asciiTheme="minorHAnsi" w:hAnsiTheme="minorHAnsi" w:cstheme="minorHAnsi"/>
                <w:sz w:val="18"/>
                <w:szCs w:val="18"/>
              </w:rPr>
              <w:t>To the extent possible, consider what information is necessary to change this designation</w:t>
            </w:r>
          </w:p>
        </w:tc>
      </w:tr>
      <w:tr w:rsidR="001833ED" w:rsidRPr="006F39D9" w14:paraId="00673906" w14:textId="77777777" w:rsidTr="00CB4B41">
        <w:trPr>
          <w:trHeight w:val="601"/>
          <w:jc w:val="center"/>
        </w:trPr>
        <w:tc>
          <w:tcPr>
            <w:tcW w:w="1345" w:type="dxa"/>
            <w:vAlign w:val="center"/>
          </w:tcPr>
          <w:p w14:paraId="39A999F0" w14:textId="77777777" w:rsidR="001833ED" w:rsidRPr="00950FDA" w:rsidRDefault="001833ED" w:rsidP="00A62500">
            <w:pPr>
              <w:jc w:val="center"/>
              <w:rPr>
                <w:rFonts w:asciiTheme="minorHAnsi" w:hAnsiTheme="minorHAnsi" w:cstheme="minorHAnsi"/>
                <w:bCs/>
                <w:iCs/>
                <w:sz w:val="18"/>
                <w:szCs w:val="18"/>
              </w:rPr>
            </w:pPr>
            <w:r w:rsidRPr="006F39D9">
              <w:rPr>
                <w:rFonts w:asciiTheme="minorHAnsi" w:hAnsiTheme="minorHAnsi" w:cstheme="minorHAnsi"/>
                <w:b/>
                <w:i/>
                <w:noProof/>
                <w:sz w:val="18"/>
                <w:szCs w:val="18"/>
              </w:rPr>
              <w:drawing>
                <wp:inline distT="0" distB="0" distL="0" distR="0" wp14:anchorId="59423DC2" wp14:editId="5D4832E9">
                  <wp:extent cx="301515" cy="301515"/>
                  <wp:effectExtent l="0" t="0" r="3810" b="3810"/>
                  <wp:docPr id="738361167" name="Graphic 738361167"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Thumbs Down with solid fill"/>
                          <pic:cNvPicPr>
                            <a:picLocks noChangeAspect="1" noChangeArrowheads="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301515" cy="301515"/>
                          </a:xfrm>
                          <a:prstGeom prst="rect">
                            <a:avLst/>
                          </a:prstGeom>
                        </pic:spPr>
                      </pic:pic>
                    </a:graphicData>
                  </a:graphic>
                </wp:inline>
              </w:drawing>
            </w:r>
            <w:r w:rsidRPr="006F39D9">
              <w:rPr>
                <w:rFonts w:asciiTheme="minorHAnsi" w:hAnsiTheme="minorHAnsi" w:cstheme="minorHAnsi"/>
                <w:b/>
                <w:i/>
                <w:noProof/>
                <w:sz w:val="18"/>
                <w:szCs w:val="18"/>
              </w:rPr>
              <w:drawing>
                <wp:inline distT="0" distB="0" distL="0" distR="0" wp14:anchorId="35D60304" wp14:editId="6E3E7948">
                  <wp:extent cx="301515" cy="301515"/>
                  <wp:effectExtent l="0" t="0" r="3810" b="3810"/>
                  <wp:docPr id="1131283742" name="Graphic 1131283742" descr="Thumbs Dow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Thumbs Down with solid fill"/>
                          <pic:cNvPicPr>
                            <a:picLocks noChangeAspect="1" noChangeArrowheads="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301515" cy="301515"/>
                          </a:xfrm>
                          <a:prstGeom prst="rect">
                            <a:avLst/>
                          </a:prstGeom>
                        </pic:spPr>
                      </pic:pic>
                    </a:graphicData>
                  </a:graphic>
                </wp:inline>
              </w:drawing>
            </w:r>
          </w:p>
        </w:tc>
        <w:tc>
          <w:tcPr>
            <w:tcW w:w="7920" w:type="dxa"/>
          </w:tcPr>
          <w:p w14:paraId="3A8362CE" w14:textId="77777777" w:rsidR="001833ED" w:rsidRPr="006F39D9" w:rsidRDefault="001833ED" w:rsidP="00A62500">
            <w:pPr>
              <w:numPr>
                <w:ilvl w:val="0"/>
                <w:numId w:val="1"/>
              </w:numPr>
              <w:jc w:val="both"/>
              <w:rPr>
                <w:rFonts w:asciiTheme="minorHAnsi" w:hAnsiTheme="minorHAnsi" w:cstheme="minorHAnsi"/>
                <w:sz w:val="18"/>
                <w:szCs w:val="18"/>
              </w:rPr>
            </w:pPr>
            <w:r>
              <w:rPr>
                <w:rFonts w:asciiTheme="minorHAnsi" w:hAnsiTheme="minorHAnsi" w:cstheme="minorHAnsi"/>
                <w:sz w:val="18"/>
                <w:szCs w:val="18"/>
              </w:rPr>
              <w:t xml:space="preserve">EBQ </w:t>
            </w:r>
            <w:r w:rsidRPr="006F39D9">
              <w:rPr>
                <w:rFonts w:asciiTheme="minorHAnsi" w:hAnsiTheme="minorHAnsi" w:cstheme="minorHAnsi"/>
                <w:sz w:val="18"/>
                <w:szCs w:val="18"/>
              </w:rPr>
              <w:t xml:space="preserve">and underlying hypotheses </w:t>
            </w:r>
            <w:r w:rsidRPr="006F39D9">
              <w:rPr>
                <w:rFonts w:asciiTheme="minorHAnsi" w:hAnsiTheme="minorHAnsi" w:cstheme="minorHAnsi"/>
                <w:b/>
                <w:sz w:val="18"/>
                <w:szCs w:val="18"/>
              </w:rPr>
              <w:t>answered conclusively</w:t>
            </w:r>
            <w:r w:rsidRPr="006F39D9">
              <w:rPr>
                <w:rFonts w:asciiTheme="minorHAnsi" w:hAnsiTheme="minorHAnsi" w:cstheme="minorHAnsi"/>
                <w:sz w:val="18"/>
                <w:szCs w:val="18"/>
              </w:rPr>
              <w:t xml:space="preserve"> in the </w:t>
            </w:r>
            <w:r w:rsidRPr="006F39D9">
              <w:rPr>
                <w:rFonts w:asciiTheme="minorHAnsi" w:hAnsiTheme="minorHAnsi" w:cstheme="minorHAnsi"/>
                <w:b/>
                <w:sz w:val="18"/>
                <w:szCs w:val="18"/>
              </w:rPr>
              <w:t>negative</w:t>
            </w:r>
          </w:p>
          <w:p w14:paraId="5D7251C6" w14:textId="77777777" w:rsidR="001833ED" w:rsidRPr="006F39D9" w:rsidRDefault="001833ED" w:rsidP="00A62500">
            <w:pPr>
              <w:numPr>
                <w:ilvl w:val="0"/>
                <w:numId w:val="1"/>
              </w:numPr>
              <w:jc w:val="both"/>
              <w:rPr>
                <w:rFonts w:asciiTheme="minorHAnsi" w:hAnsiTheme="minorHAnsi" w:cstheme="minorHAnsi"/>
                <w:b/>
                <w:sz w:val="18"/>
                <w:szCs w:val="18"/>
              </w:rPr>
            </w:pPr>
            <w:r w:rsidRPr="006F39D9">
              <w:rPr>
                <w:rFonts w:asciiTheme="minorHAnsi" w:hAnsiTheme="minorHAnsi" w:cstheme="minorHAnsi"/>
                <w:sz w:val="18"/>
                <w:szCs w:val="18"/>
              </w:rPr>
              <w:t>Foundational documents, analysis, and other references on which this assessment is based have undergone peer review through the PRRIP peer review process and/or publication in refereed journals</w:t>
            </w:r>
          </w:p>
          <w:p w14:paraId="05B80A13" w14:textId="77777777" w:rsidR="001833ED" w:rsidRPr="006F39D9" w:rsidRDefault="001833ED" w:rsidP="00A62500">
            <w:pPr>
              <w:numPr>
                <w:ilvl w:val="0"/>
                <w:numId w:val="1"/>
              </w:numPr>
              <w:jc w:val="both"/>
              <w:rPr>
                <w:rFonts w:asciiTheme="minorHAnsi" w:hAnsiTheme="minorHAnsi" w:cstheme="minorHAnsi"/>
                <w:sz w:val="18"/>
                <w:szCs w:val="18"/>
              </w:rPr>
            </w:pPr>
            <w:r w:rsidRPr="006F39D9">
              <w:rPr>
                <w:rFonts w:asciiTheme="minorHAnsi" w:hAnsiTheme="minorHAnsi" w:cstheme="minorHAnsi"/>
                <w:sz w:val="18"/>
                <w:szCs w:val="18"/>
              </w:rPr>
              <w:t>G</w:t>
            </w:r>
            <w:r>
              <w:rPr>
                <w:rFonts w:asciiTheme="minorHAnsi" w:hAnsiTheme="minorHAnsi" w:cstheme="minorHAnsi"/>
                <w:sz w:val="18"/>
                <w:szCs w:val="18"/>
              </w:rPr>
              <w:t xml:space="preserve">C </w:t>
            </w:r>
            <w:r w:rsidRPr="006F39D9">
              <w:rPr>
                <w:rFonts w:asciiTheme="minorHAnsi" w:hAnsiTheme="minorHAnsi" w:cstheme="minorHAnsi"/>
                <w:sz w:val="18"/>
                <w:szCs w:val="18"/>
              </w:rPr>
              <w:t>should consider adjustments to decisions related to PRRIP management actions</w:t>
            </w:r>
          </w:p>
        </w:tc>
      </w:tr>
    </w:tbl>
    <w:p w14:paraId="65CDA35B" w14:textId="77777777" w:rsidR="001833ED" w:rsidRDefault="001833ED" w:rsidP="001833ED"/>
    <w:p w14:paraId="00E5BE80" w14:textId="77777777" w:rsidR="00032AFE" w:rsidRDefault="006B2982" w:rsidP="00032AFE">
      <w:r w:rsidRPr="006B2982">
        <w:rPr>
          <w:b/>
          <w:bCs/>
        </w:rPr>
        <w:t>Table 3</w:t>
      </w:r>
      <w:r>
        <w:t xml:space="preserve"> summarizes 2024 Assessments from the PRRIP Executive Director’s Office (EDO) for each of the EBQ</w:t>
      </w:r>
      <w:r w:rsidR="00231543">
        <w:t>s. The table also includes brief reasoning for each EBQ Assessment and an indication o</w:t>
      </w:r>
      <w:r w:rsidR="00186C41">
        <w:t xml:space="preserve">f the likely timing of more in-depth EBQ </w:t>
      </w:r>
      <w:r w:rsidR="00032AFE">
        <w:t>evaluation.</w:t>
      </w:r>
      <w:r w:rsidR="00032AFE">
        <w:br w:type="page"/>
      </w:r>
    </w:p>
    <w:p w14:paraId="7E835082" w14:textId="10E6B079" w:rsidR="001833ED" w:rsidRDefault="00032AFE" w:rsidP="00032AFE">
      <w:pPr>
        <w:pStyle w:val="Heading2"/>
      </w:pPr>
      <w:bookmarkStart w:id="53" w:name="_Toc157060208"/>
      <w:r>
        <w:t>Ta</w:t>
      </w:r>
      <w:r w:rsidR="002A0D16">
        <w:t>ble</w:t>
      </w:r>
      <w:r w:rsidR="001833ED" w:rsidRPr="00585430">
        <w:t xml:space="preserve"> </w:t>
      </w:r>
      <w:r w:rsidR="00810634">
        <w:t>3</w:t>
      </w:r>
      <w:r w:rsidR="001833ED" w:rsidRPr="00585430">
        <w:t xml:space="preserve">. </w:t>
      </w:r>
      <w:r w:rsidR="001833ED">
        <w:t xml:space="preserve">2024 Extension </w:t>
      </w:r>
      <w:r w:rsidR="001833ED" w:rsidRPr="00585430">
        <w:t>Big Question</w:t>
      </w:r>
      <w:r w:rsidR="001833ED">
        <w:t xml:space="preserve"> (EBQ)</w:t>
      </w:r>
      <w:r w:rsidR="001833ED" w:rsidRPr="00585430">
        <w:t xml:space="preserve"> </w:t>
      </w:r>
      <w:r w:rsidR="001833ED">
        <w:t>A</w:t>
      </w:r>
      <w:r w:rsidR="001833ED" w:rsidRPr="00585430">
        <w:t>ssessments</w:t>
      </w:r>
      <w:r>
        <w:t>.</w:t>
      </w:r>
      <w:bookmarkEnd w:id="53"/>
    </w:p>
    <w:p w14:paraId="0EB476A9" w14:textId="77777777" w:rsidR="001833ED" w:rsidRDefault="001833ED" w:rsidP="001833ED"/>
    <w:tbl>
      <w:tblPr>
        <w:tblStyle w:val="TableGrid5"/>
        <w:tblW w:w="9343" w:type="dxa"/>
        <w:jc w:val="center"/>
        <w:tblLayout w:type="fixed"/>
        <w:tblLook w:val="04A0" w:firstRow="1" w:lastRow="0" w:firstColumn="1" w:lastColumn="0" w:noHBand="0" w:noVBand="1"/>
      </w:tblPr>
      <w:tblGrid>
        <w:gridCol w:w="3955"/>
        <w:gridCol w:w="1170"/>
        <w:gridCol w:w="4218"/>
      </w:tblGrid>
      <w:tr w:rsidR="001833ED" w:rsidRPr="00207974" w14:paraId="71018AC6" w14:textId="77777777" w:rsidTr="008A1093">
        <w:trPr>
          <w:cantSplit/>
          <w:trHeight w:val="349"/>
          <w:jc w:val="center"/>
        </w:trPr>
        <w:tc>
          <w:tcPr>
            <w:tcW w:w="3955" w:type="dxa"/>
            <w:shd w:val="clear" w:color="auto" w:fill="7F7F7F"/>
            <w:vAlign w:val="center"/>
          </w:tcPr>
          <w:p w14:paraId="3C38D895" w14:textId="70F7AAD3" w:rsidR="001833ED" w:rsidRPr="00207974" w:rsidRDefault="001833ED" w:rsidP="00A62500">
            <w:pPr>
              <w:jc w:val="center"/>
              <w:rPr>
                <w:rFonts w:asciiTheme="minorHAnsi" w:hAnsiTheme="minorHAnsi" w:cstheme="minorHAnsi"/>
                <w:b/>
                <w:color w:val="FFFFFF"/>
                <w:sz w:val="18"/>
                <w:szCs w:val="18"/>
              </w:rPr>
            </w:pPr>
            <w:r w:rsidRPr="00207974">
              <w:rPr>
                <w:rFonts w:asciiTheme="minorHAnsi" w:hAnsiTheme="minorHAnsi" w:cstheme="minorHAnsi"/>
                <w:color w:val="000000"/>
                <w:sz w:val="18"/>
                <w:szCs w:val="18"/>
              </w:rPr>
              <w:br w:type="page"/>
            </w:r>
            <w:r w:rsidRPr="00207974">
              <w:rPr>
                <w:rFonts w:asciiTheme="minorHAnsi" w:hAnsiTheme="minorHAnsi" w:cstheme="minorHAnsi"/>
                <w:b/>
                <w:color w:val="FFFFFF"/>
                <w:sz w:val="18"/>
                <w:szCs w:val="18"/>
              </w:rPr>
              <w:t xml:space="preserve">PRRIP </w:t>
            </w:r>
            <w:r>
              <w:rPr>
                <w:rFonts w:asciiTheme="minorHAnsi" w:hAnsiTheme="minorHAnsi" w:cstheme="minorHAnsi"/>
                <w:b/>
                <w:color w:val="FFFFFF"/>
                <w:sz w:val="18"/>
                <w:szCs w:val="18"/>
              </w:rPr>
              <w:t>E</w:t>
            </w:r>
            <w:r w:rsidR="0076303E">
              <w:rPr>
                <w:rFonts w:asciiTheme="minorHAnsi" w:hAnsiTheme="minorHAnsi" w:cstheme="minorHAnsi"/>
                <w:b/>
                <w:color w:val="FFFFFF"/>
                <w:sz w:val="18"/>
                <w:szCs w:val="18"/>
              </w:rPr>
              <w:t>xtension Big Questions</w:t>
            </w:r>
          </w:p>
        </w:tc>
        <w:tc>
          <w:tcPr>
            <w:tcW w:w="1170" w:type="dxa"/>
            <w:shd w:val="clear" w:color="auto" w:fill="7F7F7F"/>
            <w:vAlign w:val="center"/>
          </w:tcPr>
          <w:p w14:paraId="6BD9A5E4" w14:textId="77777777" w:rsidR="001833ED" w:rsidRPr="00207974" w:rsidRDefault="001833ED" w:rsidP="00A62500">
            <w:pPr>
              <w:jc w:val="center"/>
              <w:rPr>
                <w:rFonts w:asciiTheme="minorHAnsi" w:hAnsiTheme="minorHAnsi" w:cstheme="minorHAnsi"/>
                <w:b/>
                <w:color w:val="FFFFFF"/>
                <w:sz w:val="18"/>
                <w:szCs w:val="18"/>
              </w:rPr>
            </w:pPr>
            <w:r>
              <w:rPr>
                <w:rFonts w:asciiTheme="minorHAnsi" w:hAnsiTheme="minorHAnsi" w:cstheme="minorHAnsi"/>
                <w:b/>
                <w:color w:val="FFFFFF"/>
                <w:sz w:val="18"/>
                <w:szCs w:val="18"/>
              </w:rPr>
              <w:t xml:space="preserve">2024 </w:t>
            </w:r>
            <w:r w:rsidRPr="00207974">
              <w:rPr>
                <w:rFonts w:asciiTheme="minorHAnsi" w:hAnsiTheme="minorHAnsi" w:cstheme="minorHAnsi"/>
                <w:b/>
                <w:color w:val="FFFFFF"/>
                <w:sz w:val="18"/>
                <w:szCs w:val="18"/>
              </w:rPr>
              <w:t>Assessment</w:t>
            </w:r>
          </w:p>
        </w:tc>
        <w:tc>
          <w:tcPr>
            <w:tcW w:w="4218" w:type="dxa"/>
            <w:shd w:val="clear" w:color="auto" w:fill="7F7F7F"/>
            <w:vAlign w:val="center"/>
          </w:tcPr>
          <w:p w14:paraId="17BE0CE6" w14:textId="77777777" w:rsidR="001833ED" w:rsidRPr="00207974" w:rsidRDefault="001833ED" w:rsidP="00A62500">
            <w:pPr>
              <w:jc w:val="center"/>
              <w:rPr>
                <w:rFonts w:asciiTheme="minorHAnsi" w:hAnsiTheme="minorHAnsi" w:cstheme="minorHAnsi"/>
                <w:b/>
                <w:color w:val="FFFFFF"/>
                <w:sz w:val="18"/>
                <w:szCs w:val="18"/>
              </w:rPr>
            </w:pPr>
            <w:r w:rsidRPr="00207974">
              <w:rPr>
                <w:rFonts w:asciiTheme="minorHAnsi" w:hAnsiTheme="minorHAnsi" w:cstheme="minorHAnsi"/>
                <w:b/>
                <w:color w:val="FFFFFF"/>
                <w:sz w:val="18"/>
                <w:szCs w:val="18"/>
              </w:rPr>
              <w:t>Basis for Assessment</w:t>
            </w:r>
          </w:p>
        </w:tc>
      </w:tr>
      <w:tr w:rsidR="001833ED" w:rsidRPr="00207974" w14:paraId="217128B1" w14:textId="77777777" w:rsidTr="008A1093">
        <w:trPr>
          <w:cantSplit/>
          <w:trHeight w:val="398"/>
          <w:jc w:val="center"/>
        </w:trPr>
        <w:tc>
          <w:tcPr>
            <w:tcW w:w="9343" w:type="dxa"/>
            <w:gridSpan w:val="3"/>
            <w:shd w:val="clear" w:color="auto" w:fill="A8D08D" w:themeFill="accent6" w:themeFillTint="99"/>
            <w:vAlign w:val="center"/>
          </w:tcPr>
          <w:p w14:paraId="6335C91C" w14:textId="77777777" w:rsidR="001833ED" w:rsidRPr="00207974" w:rsidRDefault="001833ED" w:rsidP="00A62500">
            <w:pPr>
              <w:keepNext/>
              <w:jc w:val="center"/>
              <w:outlineLvl w:val="1"/>
              <w:rPr>
                <w:rFonts w:asciiTheme="minorHAnsi" w:eastAsia="MS Gothic" w:hAnsiTheme="minorHAnsi" w:cstheme="minorHAnsi"/>
                <w:b/>
                <w:color w:val="000000"/>
                <w:sz w:val="18"/>
                <w:szCs w:val="18"/>
              </w:rPr>
            </w:pPr>
            <w:bookmarkStart w:id="54" w:name="_Toc155880556"/>
            <w:bookmarkStart w:id="55" w:name="_Toc157060209"/>
            <w:r w:rsidRPr="00344C9D">
              <w:rPr>
                <w:rFonts w:asciiTheme="minorHAnsi" w:eastAsia="MS Gothic" w:hAnsiTheme="minorHAnsi" w:cstheme="minorHAnsi"/>
                <w:b/>
                <w:color w:val="000000"/>
                <w:sz w:val="18"/>
                <w:szCs w:val="18"/>
              </w:rPr>
              <w:t>Extension Science Priority – Active Learning</w:t>
            </w:r>
            <w:bookmarkEnd w:id="54"/>
            <w:bookmarkEnd w:id="55"/>
          </w:p>
        </w:tc>
      </w:tr>
      <w:tr w:rsidR="001833ED" w:rsidRPr="00207974" w14:paraId="03E53FC1" w14:textId="77777777" w:rsidTr="008A1093">
        <w:trPr>
          <w:cantSplit/>
          <w:trHeight w:val="423"/>
          <w:jc w:val="center"/>
        </w:trPr>
        <w:tc>
          <w:tcPr>
            <w:tcW w:w="3955" w:type="dxa"/>
            <w:vAlign w:val="center"/>
          </w:tcPr>
          <w:p w14:paraId="0D32C8E6" w14:textId="77777777" w:rsidR="001833ED" w:rsidRPr="003E0440" w:rsidRDefault="001833ED" w:rsidP="00EC4103">
            <w:pPr>
              <w:numPr>
                <w:ilvl w:val="0"/>
                <w:numId w:val="15"/>
              </w:numPr>
              <w:rPr>
                <w:rFonts w:asciiTheme="minorHAnsi" w:hAnsiTheme="minorHAnsi" w:cstheme="minorHAnsi"/>
                <w:i/>
                <w:iCs/>
                <w:sz w:val="18"/>
                <w:szCs w:val="18"/>
              </w:rPr>
            </w:pPr>
            <w:r w:rsidRPr="003E0440">
              <w:rPr>
                <w:rFonts w:asciiTheme="minorHAnsi" w:hAnsiTheme="minorHAnsi" w:cstheme="minorHAnsi"/>
                <w:b/>
                <w:i/>
                <w:iCs/>
                <w:sz w:val="18"/>
                <w:szCs w:val="18"/>
              </w:rPr>
              <w:t>How effective is it to use Program water to maintain suitable WC roosting habitat?</w:t>
            </w:r>
          </w:p>
        </w:tc>
        <w:tc>
          <w:tcPr>
            <w:tcW w:w="1170" w:type="dxa"/>
            <w:vAlign w:val="center"/>
          </w:tcPr>
          <w:p w14:paraId="7051D4AD" w14:textId="77777777" w:rsidR="001833ED" w:rsidRPr="00207974" w:rsidRDefault="001833ED" w:rsidP="00A62500">
            <w:pPr>
              <w:jc w:val="center"/>
              <w:rPr>
                <w:rFonts w:asciiTheme="minorHAnsi" w:hAnsiTheme="minorHAnsi" w:cstheme="minorHAnsi"/>
                <w:i/>
                <w:iCs/>
                <w:sz w:val="18"/>
                <w:szCs w:val="18"/>
              </w:rPr>
            </w:pPr>
            <w:r w:rsidRPr="006F39D9">
              <w:rPr>
                <w:rFonts w:asciiTheme="minorHAnsi" w:hAnsiTheme="minorHAnsi" w:cstheme="minorHAnsi"/>
                <w:noProof/>
                <w:sz w:val="18"/>
                <w:szCs w:val="18"/>
              </w:rPr>
              <w:drawing>
                <wp:inline distT="0" distB="0" distL="0" distR="0" wp14:anchorId="6DBFAE46" wp14:editId="6D8D9BA7">
                  <wp:extent cx="270933" cy="270933"/>
                  <wp:effectExtent l="0" t="0" r="0" b="0"/>
                  <wp:docPr id="1801182" name="Picture 1801182" descr="Thumbs up sign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82" name="Picture 1801182" descr="Thumbs up sign with solid fill"/>
                          <pic:cNvPicPr>
                            <a:picLocks noChangeAspect="1" noChangeArrowheads="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70933" cy="270933"/>
                          </a:xfrm>
                          <a:prstGeom prst="rect">
                            <a:avLst/>
                          </a:prstGeom>
                        </pic:spPr>
                      </pic:pic>
                    </a:graphicData>
                  </a:graphic>
                </wp:inline>
              </w:drawing>
            </w:r>
          </w:p>
        </w:tc>
        <w:tc>
          <w:tcPr>
            <w:tcW w:w="4218" w:type="dxa"/>
            <w:vAlign w:val="center"/>
          </w:tcPr>
          <w:p w14:paraId="0E58E8BC" w14:textId="68616785" w:rsidR="001833ED" w:rsidRPr="005F7E10" w:rsidRDefault="001833ED" w:rsidP="00A62500">
            <w:pPr>
              <w:pStyle w:val="NoSpacing"/>
              <w:rPr>
                <w:sz w:val="18"/>
                <w:szCs w:val="18"/>
              </w:rPr>
            </w:pPr>
            <w:r>
              <w:rPr>
                <w:sz w:val="18"/>
                <w:szCs w:val="18"/>
              </w:rPr>
              <w:t>Trending positive; formal data analysis in 2024</w:t>
            </w:r>
            <w:r w:rsidR="0076303E">
              <w:rPr>
                <w:sz w:val="18"/>
                <w:szCs w:val="18"/>
              </w:rPr>
              <w:t>.</w:t>
            </w:r>
          </w:p>
        </w:tc>
      </w:tr>
      <w:tr w:rsidR="001833ED" w:rsidRPr="00207974" w14:paraId="3637A76D" w14:textId="77777777" w:rsidTr="00DD474B">
        <w:trPr>
          <w:cantSplit/>
          <w:trHeight w:val="953"/>
          <w:jc w:val="center"/>
        </w:trPr>
        <w:tc>
          <w:tcPr>
            <w:tcW w:w="3955" w:type="dxa"/>
            <w:vAlign w:val="center"/>
          </w:tcPr>
          <w:p w14:paraId="0CCB7F38"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56" w:name="_Toc155880557"/>
            <w:bookmarkStart w:id="57" w:name="_Toc157060210"/>
            <w:r w:rsidRPr="003E0440">
              <w:rPr>
                <w:rFonts w:asciiTheme="minorHAnsi" w:eastAsia="Tw Cen MT" w:hAnsiTheme="minorHAnsi" w:cstheme="minorHAnsi"/>
                <w:b/>
                <w:i/>
                <w:iCs/>
                <w:sz w:val="18"/>
                <w:szCs w:val="18"/>
                <w:lang w:eastAsia="ja-JP"/>
              </w:rPr>
              <w:t>How effective is Program management of Phragmites for maintaining suitable whooping crane roosting habitat?</w:t>
            </w:r>
            <w:bookmarkEnd w:id="56"/>
            <w:bookmarkEnd w:id="57"/>
          </w:p>
        </w:tc>
        <w:tc>
          <w:tcPr>
            <w:tcW w:w="1170" w:type="dxa"/>
            <w:vAlign w:val="center"/>
          </w:tcPr>
          <w:p w14:paraId="75DC5258" w14:textId="77777777" w:rsidR="001833ED" w:rsidRPr="00207974" w:rsidRDefault="001833ED"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6C9948FB" wp14:editId="480C2524">
                  <wp:extent cx="208016" cy="208016"/>
                  <wp:effectExtent l="0" t="0" r="0" b="1905"/>
                  <wp:docPr id="101278362" name="Graphic 101278362"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204FF35B" w14:textId="23B09F21" w:rsidR="001833ED" w:rsidRPr="00207974" w:rsidRDefault="001833ED" w:rsidP="00A62500">
            <w:pPr>
              <w:rPr>
                <w:rFonts w:asciiTheme="minorHAnsi" w:hAnsiTheme="minorHAnsi" w:cstheme="minorHAnsi"/>
                <w:sz w:val="18"/>
                <w:szCs w:val="18"/>
              </w:rPr>
            </w:pPr>
            <w:r>
              <w:rPr>
                <w:sz w:val="18"/>
                <w:szCs w:val="18"/>
              </w:rPr>
              <w:t xml:space="preserve">Messy data; seeking </w:t>
            </w:r>
            <w:r w:rsidR="006F6A92">
              <w:rPr>
                <w:sz w:val="18"/>
                <w:szCs w:val="18"/>
              </w:rPr>
              <w:t xml:space="preserve">continued </w:t>
            </w:r>
            <w:r>
              <w:rPr>
                <w:sz w:val="18"/>
                <w:szCs w:val="18"/>
              </w:rPr>
              <w:t>implementation of formal study from 2024-</w:t>
            </w:r>
            <w:r w:rsidR="006F6A92">
              <w:rPr>
                <w:sz w:val="18"/>
                <w:szCs w:val="18"/>
              </w:rPr>
              <w:t>2025</w:t>
            </w:r>
            <w:r>
              <w:rPr>
                <w:sz w:val="18"/>
                <w:szCs w:val="18"/>
              </w:rPr>
              <w:t xml:space="preserve">, </w:t>
            </w:r>
            <w:r w:rsidR="006F6A92">
              <w:rPr>
                <w:sz w:val="18"/>
                <w:szCs w:val="18"/>
              </w:rPr>
              <w:t xml:space="preserve">with possible extension of data collection depending on initial </w:t>
            </w:r>
            <w:r>
              <w:rPr>
                <w:sz w:val="18"/>
                <w:szCs w:val="18"/>
              </w:rPr>
              <w:t xml:space="preserve">data analysis and reporting in </w:t>
            </w:r>
            <w:r w:rsidR="006F6A92">
              <w:rPr>
                <w:sz w:val="18"/>
                <w:szCs w:val="18"/>
              </w:rPr>
              <w:t>2025</w:t>
            </w:r>
            <w:r w:rsidR="007658A8">
              <w:rPr>
                <w:sz w:val="18"/>
                <w:szCs w:val="18"/>
              </w:rPr>
              <w:t>.</w:t>
            </w:r>
          </w:p>
        </w:tc>
      </w:tr>
      <w:tr w:rsidR="001833ED" w:rsidRPr="00207974" w14:paraId="7CAD1740" w14:textId="77777777" w:rsidTr="00DD474B">
        <w:trPr>
          <w:cantSplit/>
          <w:trHeight w:val="962"/>
          <w:jc w:val="center"/>
        </w:trPr>
        <w:tc>
          <w:tcPr>
            <w:tcW w:w="3955" w:type="dxa"/>
            <w:vAlign w:val="center"/>
          </w:tcPr>
          <w:p w14:paraId="101ED160"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58" w:name="_Toc155880558"/>
            <w:bookmarkStart w:id="59" w:name="_Toc157060211"/>
            <w:r w:rsidRPr="003E0440">
              <w:rPr>
                <w:rFonts w:asciiTheme="minorHAnsi" w:eastAsia="Tw Cen MT" w:hAnsiTheme="minorHAnsi" w:cstheme="minorHAnsi"/>
                <w:b/>
                <w:i/>
                <w:iCs/>
                <w:sz w:val="18"/>
                <w:szCs w:val="18"/>
                <w:lang w:eastAsia="ja-JP"/>
              </w:rPr>
              <w:t>Is sediment augmentation necessary to create and/or maintain suitable whooping crane habitat?</w:t>
            </w:r>
            <w:bookmarkEnd w:id="58"/>
            <w:bookmarkEnd w:id="59"/>
          </w:p>
        </w:tc>
        <w:tc>
          <w:tcPr>
            <w:tcW w:w="1170" w:type="dxa"/>
            <w:vAlign w:val="center"/>
          </w:tcPr>
          <w:p w14:paraId="0952FC03" w14:textId="4F194C25" w:rsidR="001833ED" w:rsidRPr="00207974" w:rsidRDefault="006B3B74"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188B0435" wp14:editId="282D13C9">
                  <wp:extent cx="208016" cy="208016"/>
                  <wp:effectExtent l="0" t="0" r="0" b="1905"/>
                  <wp:docPr id="1569609557" name="Graphic 1569609557"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4F9AB20A" w14:textId="276C8430" w:rsidR="001833ED" w:rsidRPr="00207974" w:rsidRDefault="001833ED" w:rsidP="00A62500">
            <w:pPr>
              <w:rPr>
                <w:rFonts w:asciiTheme="minorHAnsi" w:hAnsiTheme="minorHAnsi" w:cstheme="minorHAnsi"/>
                <w:sz w:val="18"/>
                <w:szCs w:val="18"/>
              </w:rPr>
            </w:pPr>
            <w:r w:rsidRPr="00102B01">
              <w:rPr>
                <w:i/>
                <w:iCs/>
                <w:sz w:val="18"/>
                <w:szCs w:val="18"/>
              </w:rPr>
              <w:t>Peer review</w:t>
            </w:r>
            <w:r>
              <w:rPr>
                <w:sz w:val="18"/>
                <w:szCs w:val="18"/>
              </w:rPr>
              <w:t xml:space="preserve"> of Sediment Augmentation Data Synthesis Compilation ongoing, complete in 2024; reducing this uncertainty is difficult, PRRIP may make decision to act to reduce potential risk</w:t>
            </w:r>
            <w:r w:rsidR="007658A8">
              <w:rPr>
                <w:sz w:val="18"/>
                <w:szCs w:val="18"/>
              </w:rPr>
              <w:t>.</w:t>
            </w:r>
          </w:p>
        </w:tc>
      </w:tr>
      <w:tr w:rsidR="001833ED" w:rsidRPr="00207974" w14:paraId="3C04C0AE" w14:textId="77777777" w:rsidTr="00DD474B">
        <w:trPr>
          <w:cantSplit/>
          <w:trHeight w:val="521"/>
          <w:jc w:val="center"/>
        </w:trPr>
        <w:tc>
          <w:tcPr>
            <w:tcW w:w="3955" w:type="dxa"/>
            <w:vAlign w:val="center"/>
          </w:tcPr>
          <w:p w14:paraId="1761E87D"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60" w:name="_Toc155880559"/>
            <w:bookmarkStart w:id="61" w:name="_Toc157060212"/>
            <w:r w:rsidRPr="003E0440">
              <w:rPr>
                <w:rFonts w:asciiTheme="minorHAnsi" w:eastAsia="Tw Cen MT" w:hAnsiTheme="minorHAnsi" w:cstheme="minorHAnsi"/>
                <w:b/>
                <w:i/>
                <w:iCs/>
                <w:sz w:val="18"/>
                <w:szCs w:val="18"/>
                <w:lang w:eastAsia="ja-JP"/>
              </w:rPr>
              <w:t>What factors influence WC decision to stop or fly over the AHR?</w:t>
            </w:r>
            <w:bookmarkEnd w:id="60"/>
            <w:bookmarkEnd w:id="61"/>
          </w:p>
        </w:tc>
        <w:tc>
          <w:tcPr>
            <w:tcW w:w="1170" w:type="dxa"/>
            <w:vAlign w:val="center"/>
          </w:tcPr>
          <w:p w14:paraId="2220CF2A" w14:textId="71AB8D12" w:rsidR="001833ED" w:rsidRPr="00207974" w:rsidRDefault="006B3B74"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5D4FED3D" wp14:editId="5E4D272F">
                  <wp:extent cx="208016" cy="208016"/>
                  <wp:effectExtent l="0" t="0" r="0" b="1905"/>
                  <wp:docPr id="1293611621" name="Graphic 1293611621"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5FB84A3C" w14:textId="0917E5CE" w:rsidR="001833ED" w:rsidRPr="00207974" w:rsidRDefault="001833ED" w:rsidP="00A62500">
            <w:pPr>
              <w:rPr>
                <w:rFonts w:asciiTheme="minorHAnsi" w:hAnsiTheme="minorHAnsi" w:cstheme="minorHAnsi"/>
                <w:sz w:val="18"/>
                <w:szCs w:val="18"/>
              </w:rPr>
            </w:pPr>
            <w:r>
              <w:rPr>
                <w:sz w:val="18"/>
                <w:szCs w:val="18"/>
              </w:rPr>
              <w:t>Delay in accessing telemetry data, will be part of larger telemetry data analysis</w:t>
            </w:r>
            <w:r w:rsidR="007658A8">
              <w:rPr>
                <w:sz w:val="18"/>
                <w:szCs w:val="18"/>
              </w:rPr>
              <w:t>.</w:t>
            </w:r>
          </w:p>
        </w:tc>
      </w:tr>
      <w:tr w:rsidR="001833ED" w:rsidRPr="00207974" w14:paraId="43CF8675" w14:textId="77777777" w:rsidTr="00DD474B">
        <w:trPr>
          <w:cantSplit/>
          <w:trHeight w:val="539"/>
          <w:jc w:val="center"/>
        </w:trPr>
        <w:tc>
          <w:tcPr>
            <w:tcW w:w="3955" w:type="dxa"/>
            <w:vAlign w:val="center"/>
          </w:tcPr>
          <w:p w14:paraId="1D60A7BC"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62" w:name="_Toc155880560"/>
            <w:bookmarkStart w:id="63" w:name="_Toc157060213"/>
            <w:r w:rsidRPr="003E0440">
              <w:rPr>
                <w:rFonts w:asciiTheme="minorHAnsi" w:eastAsia="Tw Cen MT" w:hAnsiTheme="minorHAnsi" w:cstheme="minorHAnsi"/>
                <w:b/>
                <w:i/>
                <w:iCs/>
                <w:sz w:val="18"/>
                <w:szCs w:val="18"/>
                <w:lang w:eastAsia="ja-JP"/>
              </w:rPr>
              <w:t>What factors influence WC stopover length within the AHR?</w:t>
            </w:r>
            <w:bookmarkEnd w:id="62"/>
            <w:bookmarkEnd w:id="63"/>
          </w:p>
        </w:tc>
        <w:tc>
          <w:tcPr>
            <w:tcW w:w="1170" w:type="dxa"/>
            <w:vAlign w:val="center"/>
          </w:tcPr>
          <w:p w14:paraId="200F8694" w14:textId="24C9B69F" w:rsidR="001833ED" w:rsidRPr="00534E82" w:rsidRDefault="006B3B74"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696FC18F" wp14:editId="7F6175F1">
                  <wp:extent cx="208016" cy="208016"/>
                  <wp:effectExtent l="0" t="0" r="0" b="1905"/>
                  <wp:docPr id="554984895" name="Graphic 554984895"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0EAAA6D9" w14:textId="74D7C46F" w:rsidR="001833ED" w:rsidRPr="005F7E10" w:rsidRDefault="001833ED" w:rsidP="00A62500">
            <w:pPr>
              <w:rPr>
                <w:sz w:val="18"/>
                <w:szCs w:val="18"/>
              </w:rPr>
            </w:pPr>
            <w:r>
              <w:rPr>
                <w:sz w:val="18"/>
                <w:szCs w:val="18"/>
              </w:rPr>
              <w:t>Delay in accessing telemetry data, will be part of larger telemetry data analysis</w:t>
            </w:r>
            <w:r w:rsidR="007658A8">
              <w:rPr>
                <w:sz w:val="18"/>
                <w:szCs w:val="18"/>
              </w:rPr>
              <w:t>.</w:t>
            </w:r>
          </w:p>
        </w:tc>
      </w:tr>
      <w:tr w:rsidR="001833ED" w:rsidRPr="00207974" w14:paraId="626C6CEE" w14:textId="77777777" w:rsidTr="00DD474B">
        <w:trPr>
          <w:cantSplit/>
          <w:trHeight w:val="521"/>
          <w:jc w:val="center"/>
        </w:trPr>
        <w:tc>
          <w:tcPr>
            <w:tcW w:w="3955" w:type="dxa"/>
            <w:vAlign w:val="center"/>
          </w:tcPr>
          <w:p w14:paraId="0B66161E"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64" w:name="_Toc155880561"/>
            <w:bookmarkStart w:id="65" w:name="_Toc157060214"/>
            <w:r w:rsidRPr="003E0440">
              <w:rPr>
                <w:rFonts w:asciiTheme="minorHAnsi" w:eastAsia="Tw Cen MT" w:hAnsiTheme="minorHAnsi" w:cstheme="minorHAnsi"/>
                <w:b/>
                <w:i/>
                <w:iCs/>
                <w:sz w:val="18"/>
                <w:szCs w:val="18"/>
                <w:lang w:eastAsia="ja-JP"/>
              </w:rPr>
              <w:t>Why is spring WC use of the AHR greater than fall WC use?</w:t>
            </w:r>
            <w:bookmarkEnd w:id="64"/>
            <w:bookmarkEnd w:id="65"/>
          </w:p>
        </w:tc>
        <w:tc>
          <w:tcPr>
            <w:tcW w:w="1170" w:type="dxa"/>
            <w:vAlign w:val="center"/>
          </w:tcPr>
          <w:p w14:paraId="666B27AE" w14:textId="3A429649" w:rsidR="001833ED" w:rsidRPr="00534E82" w:rsidRDefault="006B3B74"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278C4537" wp14:editId="4B480886">
                  <wp:extent cx="208016" cy="208016"/>
                  <wp:effectExtent l="0" t="0" r="0" b="1905"/>
                  <wp:docPr id="445127447" name="Graphic 445127447"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37DE338D" w14:textId="1497C3CC" w:rsidR="001833ED" w:rsidRPr="005F7E10" w:rsidRDefault="001833ED" w:rsidP="00A62500">
            <w:pPr>
              <w:rPr>
                <w:sz w:val="18"/>
                <w:szCs w:val="18"/>
              </w:rPr>
            </w:pPr>
            <w:r w:rsidRPr="004A26BB">
              <w:rPr>
                <w:sz w:val="18"/>
                <w:szCs w:val="18"/>
              </w:rPr>
              <w:t>Delay in accessing telemetry data, will be part of larger telemetry data analysis</w:t>
            </w:r>
            <w:r w:rsidR="007658A8">
              <w:rPr>
                <w:sz w:val="18"/>
                <w:szCs w:val="18"/>
              </w:rPr>
              <w:t>.</w:t>
            </w:r>
          </w:p>
        </w:tc>
      </w:tr>
      <w:tr w:rsidR="001833ED" w:rsidRPr="00207974" w14:paraId="20148F94" w14:textId="77777777" w:rsidTr="008A1093">
        <w:trPr>
          <w:cantSplit/>
          <w:trHeight w:val="586"/>
          <w:jc w:val="center"/>
        </w:trPr>
        <w:tc>
          <w:tcPr>
            <w:tcW w:w="3955" w:type="dxa"/>
            <w:vAlign w:val="center"/>
          </w:tcPr>
          <w:p w14:paraId="749BD5F4"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66" w:name="_Toc155880562"/>
            <w:bookmarkStart w:id="67" w:name="_Toc157060215"/>
            <w:r w:rsidRPr="003E0440">
              <w:rPr>
                <w:rFonts w:asciiTheme="minorHAnsi" w:eastAsia="Tw Cen MT" w:hAnsiTheme="minorHAnsi" w:cstheme="minorHAnsi"/>
                <w:b/>
                <w:i/>
                <w:iCs/>
                <w:sz w:val="18"/>
                <w:szCs w:val="18"/>
                <w:lang w:eastAsia="ja-JP"/>
              </w:rPr>
              <w:t>What effect do Program flow management actions to benefit WC, PP, and LT in the central Platte River have on pallid sturgeon use of the lower Platte River?</w:t>
            </w:r>
            <w:bookmarkEnd w:id="66"/>
            <w:bookmarkEnd w:id="67"/>
          </w:p>
        </w:tc>
        <w:tc>
          <w:tcPr>
            <w:tcW w:w="1170" w:type="dxa"/>
            <w:vAlign w:val="center"/>
          </w:tcPr>
          <w:p w14:paraId="196BD646" w14:textId="35FDC1B9" w:rsidR="001833ED" w:rsidRPr="00534E82" w:rsidRDefault="006B3B74"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62FD9B84" wp14:editId="3643F178">
                  <wp:extent cx="208016" cy="208016"/>
                  <wp:effectExtent l="0" t="0" r="0" b="1905"/>
                  <wp:docPr id="29195099" name="Graphic 29195099"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5907ECCE" w14:textId="071C217F" w:rsidR="001833ED" w:rsidRPr="005F7E10" w:rsidRDefault="001833ED" w:rsidP="00A62500">
            <w:pPr>
              <w:rPr>
                <w:sz w:val="18"/>
                <w:szCs w:val="18"/>
              </w:rPr>
            </w:pPr>
            <w:r>
              <w:rPr>
                <w:sz w:val="18"/>
                <w:szCs w:val="18"/>
              </w:rPr>
              <w:t xml:space="preserve">Dual research projects underway, Program activity regarding this EBQ is tied to these projects (genetics + habitat/use), working through Pallid Sturgeon Agreement Framing </w:t>
            </w:r>
            <w:r w:rsidR="00CE2D9B">
              <w:rPr>
                <w:sz w:val="18"/>
                <w:szCs w:val="18"/>
              </w:rPr>
              <w:t>Document</w:t>
            </w:r>
            <w:r>
              <w:rPr>
                <w:sz w:val="18"/>
                <w:szCs w:val="18"/>
              </w:rPr>
              <w:t xml:space="preserve"> (2021)</w:t>
            </w:r>
            <w:r w:rsidR="007658A8">
              <w:rPr>
                <w:sz w:val="18"/>
                <w:szCs w:val="18"/>
              </w:rPr>
              <w:t>.</w:t>
            </w:r>
          </w:p>
        </w:tc>
      </w:tr>
      <w:tr w:rsidR="001833ED" w:rsidRPr="00207974" w14:paraId="32D96074" w14:textId="77777777" w:rsidTr="008A1093">
        <w:trPr>
          <w:cantSplit/>
          <w:trHeight w:val="381"/>
          <w:jc w:val="center"/>
        </w:trPr>
        <w:tc>
          <w:tcPr>
            <w:tcW w:w="9343" w:type="dxa"/>
            <w:gridSpan w:val="3"/>
            <w:shd w:val="clear" w:color="auto" w:fill="BDD6EE"/>
            <w:vAlign w:val="center"/>
          </w:tcPr>
          <w:p w14:paraId="4FD4D417" w14:textId="77777777" w:rsidR="001833ED" w:rsidRPr="00207974" w:rsidRDefault="001833ED" w:rsidP="00A62500">
            <w:pPr>
              <w:keepNext/>
              <w:jc w:val="center"/>
              <w:outlineLvl w:val="1"/>
              <w:rPr>
                <w:rFonts w:asciiTheme="minorHAnsi" w:eastAsia="MS Gothic" w:hAnsiTheme="minorHAnsi" w:cstheme="minorHAnsi"/>
                <w:b/>
                <w:color w:val="000000"/>
                <w:sz w:val="18"/>
                <w:szCs w:val="18"/>
              </w:rPr>
            </w:pPr>
            <w:bookmarkStart w:id="68" w:name="_Toc155880563"/>
            <w:bookmarkStart w:id="69" w:name="_Toc157060216"/>
            <w:r w:rsidRPr="006D31EA">
              <w:rPr>
                <w:rFonts w:asciiTheme="minorHAnsi" w:eastAsia="MS Gothic" w:hAnsiTheme="minorHAnsi" w:cstheme="minorHAnsi"/>
                <w:b/>
                <w:color w:val="000000"/>
                <w:sz w:val="18"/>
                <w:szCs w:val="18"/>
              </w:rPr>
              <w:t>Extension Science Priority – Maintenance Learning</w:t>
            </w:r>
            <w:bookmarkEnd w:id="68"/>
            <w:bookmarkEnd w:id="69"/>
          </w:p>
        </w:tc>
      </w:tr>
      <w:tr w:rsidR="001833ED" w:rsidRPr="00207974" w14:paraId="009974AB" w14:textId="77777777" w:rsidTr="008A1093">
        <w:trPr>
          <w:cantSplit/>
          <w:trHeight w:val="434"/>
          <w:jc w:val="center"/>
        </w:trPr>
        <w:tc>
          <w:tcPr>
            <w:tcW w:w="3955" w:type="dxa"/>
            <w:vAlign w:val="center"/>
          </w:tcPr>
          <w:p w14:paraId="585623C5"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70" w:name="_Toc155880564"/>
            <w:bookmarkStart w:id="71" w:name="_Toc157060217"/>
            <w:r w:rsidRPr="003E0440">
              <w:rPr>
                <w:rFonts w:asciiTheme="minorHAnsi" w:eastAsia="Tw Cen MT" w:hAnsiTheme="minorHAnsi" w:cstheme="minorHAnsi"/>
                <w:b/>
                <w:i/>
                <w:iCs/>
                <w:sz w:val="18"/>
                <w:szCs w:val="18"/>
                <w:lang w:eastAsia="ja-JP"/>
              </w:rPr>
              <w:t>How much of an effect does predation have on PP productivity (fledging)?</w:t>
            </w:r>
            <w:bookmarkEnd w:id="70"/>
            <w:bookmarkEnd w:id="71"/>
          </w:p>
        </w:tc>
        <w:tc>
          <w:tcPr>
            <w:tcW w:w="1170" w:type="dxa"/>
            <w:vAlign w:val="center"/>
          </w:tcPr>
          <w:p w14:paraId="7BA73067" w14:textId="2AA556FC" w:rsidR="001833ED" w:rsidRPr="00534E82" w:rsidRDefault="003E67FF"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2406D77E" wp14:editId="3585BD5D">
                  <wp:extent cx="208016" cy="208016"/>
                  <wp:effectExtent l="0" t="0" r="0" b="1905"/>
                  <wp:docPr id="318844820" name="Graphic 318844820"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57F8D893" w14:textId="6145114C" w:rsidR="001833ED" w:rsidRPr="00207974" w:rsidRDefault="001833ED" w:rsidP="00A62500">
            <w:pPr>
              <w:rPr>
                <w:rFonts w:asciiTheme="minorHAnsi" w:hAnsiTheme="minorHAnsi" w:cstheme="minorHAnsi"/>
                <w:sz w:val="18"/>
                <w:szCs w:val="18"/>
              </w:rPr>
            </w:pPr>
            <w:r>
              <w:rPr>
                <w:rFonts w:asciiTheme="minorHAnsi" w:hAnsiTheme="minorHAnsi" w:cstheme="minorHAnsi"/>
                <w:sz w:val="18"/>
                <w:szCs w:val="18"/>
              </w:rPr>
              <w:t>Have collected data on predation, productivity impact analysis in 2024</w:t>
            </w:r>
            <w:r w:rsidR="007658A8">
              <w:rPr>
                <w:rFonts w:asciiTheme="minorHAnsi" w:hAnsiTheme="minorHAnsi" w:cstheme="minorHAnsi"/>
                <w:sz w:val="18"/>
                <w:szCs w:val="18"/>
              </w:rPr>
              <w:t>.</w:t>
            </w:r>
          </w:p>
        </w:tc>
      </w:tr>
      <w:tr w:rsidR="001833ED" w:rsidRPr="00207974" w14:paraId="62DB418D" w14:textId="77777777" w:rsidTr="008A1093">
        <w:trPr>
          <w:cantSplit/>
          <w:trHeight w:val="480"/>
          <w:jc w:val="center"/>
        </w:trPr>
        <w:tc>
          <w:tcPr>
            <w:tcW w:w="3955" w:type="dxa"/>
            <w:vAlign w:val="center"/>
          </w:tcPr>
          <w:p w14:paraId="1A1D81DD"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72" w:name="_Toc155880565"/>
            <w:bookmarkStart w:id="73" w:name="_Toc157060218"/>
            <w:r w:rsidRPr="003E0440">
              <w:rPr>
                <w:rFonts w:asciiTheme="minorHAnsi" w:eastAsia="Tw Cen MT" w:hAnsiTheme="minorHAnsi" w:cstheme="minorHAnsi"/>
                <w:b/>
                <w:i/>
                <w:iCs/>
                <w:sz w:val="18"/>
                <w:szCs w:val="18"/>
                <w:lang w:eastAsia="ja-JP"/>
              </w:rPr>
              <w:t>How effective is Program management at mitigating losses of PP productivity due to predation?</w:t>
            </w:r>
            <w:bookmarkEnd w:id="72"/>
            <w:bookmarkEnd w:id="73"/>
          </w:p>
        </w:tc>
        <w:tc>
          <w:tcPr>
            <w:tcW w:w="1170" w:type="dxa"/>
            <w:vAlign w:val="center"/>
          </w:tcPr>
          <w:p w14:paraId="790BC889" w14:textId="7AA5F28D" w:rsidR="001833ED" w:rsidRPr="00534E82" w:rsidRDefault="003E67FF" w:rsidP="00A62500">
            <w:pPr>
              <w:jc w:val="center"/>
              <w:rPr>
                <w:rFonts w:asciiTheme="minorHAnsi" w:hAnsiTheme="minorHAnsi" w:cstheme="minorHAnsi"/>
                <w:sz w:val="18"/>
                <w:szCs w:val="18"/>
              </w:rPr>
            </w:pPr>
            <w:r w:rsidRPr="006F39D9">
              <w:rPr>
                <w:rFonts w:asciiTheme="minorHAnsi" w:hAnsiTheme="minorHAnsi" w:cstheme="minorHAnsi"/>
                <w:noProof/>
                <w:sz w:val="18"/>
                <w:szCs w:val="18"/>
              </w:rPr>
              <w:drawing>
                <wp:inline distT="0" distB="0" distL="0" distR="0" wp14:anchorId="4B5708BA" wp14:editId="64F6AB00">
                  <wp:extent cx="208016" cy="208016"/>
                  <wp:effectExtent l="0" t="0" r="0" b="1905"/>
                  <wp:docPr id="683257612" name="Graphic 683257612" descr="Question Mark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16" descr="Question Mark with solid fill"/>
                          <pic:cNvPicPr>
                            <a:picLocks noChangeAspect="1" noChangeArrowheads="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208016" cy="208016"/>
                          </a:xfrm>
                          <a:prstGeom prst="rect">
                            <a:avLst/>
                          </a:prstGeom>
                        </pic:spPr>
                      </pic:pic>
                    </a:graphicData>
                  </a:graphic>
                </wp:inline>
              </w:drawing>
            </w:r>
          </w:p>
        </w:tc>
        <w:tc>
          <w:tcPr>
            <w:tcW w:w="4218" w:type="dxa"/>
            <w:vAlign w:val="center"/>
          </w:tcPr>
          <w:p w14:paraId="54191F86" w14:textId="31B58BDE" w:rsidR="001833ED" w:rsidRPr="00207974" w:rsidRDefault="001833ED" w:rsidP="00A62500">
            <w:pPr>
              <w:rPr>
                <w:rFonts w:asciiTheme="minorHAnsi" w:hAnsiTheme="minorHAnsi" w:cstheme="minorHAnsi"/>
                <w:sz w:val="18"/>
                <w:szCs w:val="18"/>
              </w:rPr>
            </w:pPr>
            <w:r>
              <w:rPr>
                <w:rFonts w:asciiTheme="minorHAnsi" w:hAnsiTheme="minorHAnsi" w:cstheme="minorHAnsi"/>
                <w:sz w:val="18"/>
                <w:szCs w:val="18"/>
              </w:rPr>
              <w:t>Have conducted predator management experiment and collected data, effectiveness analysis in 2024</w:t>
            </w:r>
            <w:r w:rsidR="007658A8">
              <w:rPr>
                <w:rFonts w:asciiTheme="minorHAnsi" w:hAnsiTheme="minorHAnsi" w:cstheme="minorHAnsi"/>
                <w:sz w:val="18"/>
                <w:szCs w:val="18"/>
              </w:rPr>
              <w:t>.</w:t>
            </w:r>
          </w:p>
        </w:tc>
      </w:tr>
      <w:tr w:rsidR="001833ED" w:rsidRPr="00207974" w14:paraId="7BC8483E" w14:textId="77777777" w:rsidTr="008A1093">
        <w:trPr>
          <w:cantSplit/>
          <w:trHeight w:val="434"/>
          <w:jc w:val="center"/>
        </w:trPr>
        <w:tc>
          <w:tcPr>
            <w:tcW w:w="3955" w:type="dxa"/>
            <w:vAlign w:val="center"/>
          </w:tcPr>
          <w:p w14:paraId="106EB151" w14:textId="77777777" w:rsidR="001833ED" w:rsidRPr="003E0440" w:rsidRDefault="001833ED" w:rsidP="00EC4103">
            <w:pPr>
              <w:keepNext/>
              <w:numPr>
                <w:ilvl w:val="0"/>
                <w:numId w:val="15"/>
              </w:numPr>
              <w:outlineLvl w:val="1"/>
              <w:rPr>
                <w:rFonts w:asciiTheme="minorHAnsi" w:eastAsia="Tw Cen MT" w:hAnsiTheme="minorHAnsi" w:cstheme="minorHAnsi"/>
                <w:b/>
                <w:i/>
                <w:iCs/>
                <w:sz w:val="18"/>
                <w:szCs w:val="18"/>
                <w:lang w:eastAsia="ja-JP"/>
              </w:rPr>
            </w:pPr>
            <w:bookmarkStart w:id="74" w:name="_Toc155880566"/>
            <w:bookmarkStart w:id="75" w:name="_Toc157060219"/>
            <w:r w:rsidRPr="003E0440">
              <w:rPr>
                <w:rFonts w:asciiTheme="minorHAnsi" w:eastAsia="Tw Cen MT" w:hAnsiTheme="minorHAnsi" w:cstheme="minorHAnsi"/>
                <w:b/>
                <w:i/>
                <w:iCs/>
                <w:sz w:val="18"/>
                <w:szCs w:val="18"/>
                <w:lang w:eastAsia="ja-JP"/>
              </w:rPr>
              <w:t>Wet meadows research (NOTE: this is a carryover task from the First Increment to specifically address the physical processes involved in wet meadow hydrology)</w:t>
            </w:r>
            <w:bookmarkEnd w:id="74"/>
            <w:bookmarkEnd w:id="75"/>
          </w:p>
        </w:tc>
        <w:tc>
          <w:tcPr>
            <w:tcW w:w="1170" w:type="dxa"/>
            <w:vAlign w:val="center"/>
          </w:tcPr>
          <w:p w14:paraId="019523E8" w14:textId="77777777" w:rsidR="001833ED" w:rsidRPr="009D4518" w:rsidRDefault="001833ED" w:rsidP="00A62500">
            <w:pPr>
              <w:jc w:val="center"/>
              <w:rPr>
                <w:rFonts w:asciiTheme="minorHAnsi" w:hAnsiTheme="minorHAnsi" w:cstheme="minorHAnsi"/>
                <w:i/>
                <w:iCs/>
                <w:sz w:val="18"/>
                <w:szCs w:val="18"/>
              </w:rPr>
            </w:pPr>
            <w:r>
              <w:rPr>
                <w:rFonts w:asciiTheme="minorHAnsi" w:hAnsiTheme="minorHAnsi" w:cstheme="minorHAnsi"/>
                <w:noProof/>
                <w:sz w:val="18"/>
                <w:szCs w:val="18"/>
              </w:rPr>
              <w:t>n/a</w:t>
            </w:r>
          </w:p>
        </w:tc>
        <w:tc>
          <w:tcPr>
            <w:tcW w:w="4218" w:type="dxa"/>
            <w:vAlign w:val="center"/>
          </w:tcPr>
          <w:p w14:paraId="518F2697" w14:textId="1CC395C6" w:rsidR="001833ED" w:rsidRPr="00207974" w:rsidRDefault="001833ED" w:rsidP="00A62500">
            <w:pPr>
              <w:rPr>
                <w:rFonts w:asciiTheme="minorHAnsi" w:hAnsiTheme="minorHAnsi" w:cstheme="minorHAnsi"/>
                <w:sz w:val="18"/>
                <w:szCs w:val="18"/>
              </w:rPr>
            </w:pPr>
            <w:r w:rsidRPr="00102B01">
              <w:rPr>
                <w:rFonts w:asciiTheme="minorHAnsi" w:hAnsiTheme="minorHAnsi" w:cstheme="minorHAnsi"/>
                <w:i/>
                <w:iCs/>
                <w:sz w:val="18"/>
                <w:szCs w:val="18"/>
              </w:rPr>
              <w:t>Peer review</w:t>
            </w:r>
            <w:r>
              <w:rPr>
                <w:rFonts w:asciiTheme="minorHAnsi" w:hAnsiTheme="minorHAnsi" w:cstheme="minorHAnsi"/>
                <w:sz w:val="18"/>
                <w:szCs w:val="18"/>
              </w:rPr>
              <w:t xml:space="preserve"> of Wet Meadow Hydrology Report ongoing, complete in 2024; internal (EDO + TAC) discussion about Program definition of wet meadows to occur in 2024</w:t>
            </w:r>
            <w:r w:rsidR="007658A8">
              <w:rPr>
                <w:rFonts w:asciiTheme="minorHAnsi" w:hAnsiTheme="minorHAnsi" w:cstheme="minorHAnsi"/>
                <w:sz w:val="18"/>
                <w:szCs w:val="18"/>
              </w:rPr>
              <w:t>.</w:t>
            </w:r>
          </w:p>
        </w:tc>
      </w:tr>
    </w:tbl>
    <w:p w14:paraId="5B857E8D" w14:textId="77777777" w:rsidR="00EC4103" w:rsidRDefault="00EC4103" w:rsidP="00032AFE">
      <w:pPr>
        <w:pStyle w:val="NoSpacing"/>
      </w:pPr>
    </w:p>
    <w:p w14:paraId="308B44A0" w14:textId="7ECB6242" w:rsidR="00FE408E" w:rsidRPr="000F10F9" w:rsidRDefault="00FE408E" w:rsidP="008A7247">
      <w:pPr>
        <w:pStyle w:val="Heading2"/>
      </w:pPr>
      <w:bookmarkStart w:id="76" w:name="_Toc157060220"/>
      <w:r w:rsidRPr="000F10F9">
        <w:t>Structured Decision-Making</w:t>
      </w:r>
      <w:r w:rsidR="004C1A8C" w:rsidRPr="000F10F9">
        <w:t xml:space="preserve"> (SDM)</w:t>
      </w:r>
      <w:bookmarkEnd w:id="76"/>
    </w:p>
    <w:p w14:paraId="49E52559" w14:textId="4DC62DEE" w:rsidR="00FE408E" w:rsidRDefault="00FE408E" w:rsidP="00562562">
      <w:pPr>
        <w:sectPr w:rsidR="00FE408E" w:rsidSect="005B280F">
          <w:pgSz w:w="12240" w:h="15840"/>
          <w:pgMar w:top="1440" w:right="1440" w:bottom="1440" w:left="1440" w:header="720" w:footer="720" w:gutter="0"/>
          <w:lnNumType w:countBy="1" w:restart="newSection"/>
          <w:cols w:space="720"/>
          <w:docGrid w:linePitch="360"/>
        </w:sectPr>
      </w:pPr>
      <w:r>
        <w:t xml:space="preserve">During the First Increment, the Program utilized </w:t>
      </w:r>
      <w:r w:rsidR="002E6932">
        <w:t xml:space="preserve">SDM </w:t>
      </w:r>
      <w:r>
        <w:t>as a framework for integrating quantitative and qualitative learning to adjust management for the interior least tern and piping plover (</w:t>
      </w:r>
      <w:r w:rsidR="00E97335" w:rsidRPr="00E97335">
        <w:rPr>
          <w:color w:val="000000" w:themeColor="text1"/>
        </w:rPr>
        <w:t>Compass Resource Management Ltd., 2016</w:t>
      </w:r>
      <w:r>
        <w:t xml:space="preserve">). As part of that process, First Increment science learning was used to develop habitat and species response models (tools) </w:t>
      </w:r>
      <w:r w:rsidR="004C1A8C">
        <w:t>for the purpose of estimating consequences of management alternatives. Extension Science Plan activities have been designed to inform a second</w:t>
      </w:r>
      <w:r w:rsidR="002E6932">
        <w:t>, broader</w:t>
      </w:r>
      <w:r w:rsidR="004C1A8C">
        <w:t xml:space="preserve"> SDM process </w:t>
      </w:r>
      <w:r w:rsidR="00FC09AF">
        <w:t xml:space="preserve">that will be used to </w:t>
      </w:r>
      <w:r w:rsidR="00CB5C15">
        <w:t>help facilitate negotiation of</w:t>
      </w:r>
      <w:r w:rsidR="00FC09AF">
        <w:t xml:space="preserve"> Second Increment implementation activities. We anticipate SDM</w:t>
      </w:r>
      <w:r w:rsidR="00F0005D">
        <w:t xml:space="preserve"> planning and</w:t>
      </w:r>
      <w:r w:rsidR="00FC09AF">
        <w:t xml:space="preserve"> tool development (based on learning reported in this report</w:t>
      </w:r>
      <w:r w:rsidR="00204209">
        <w:t xml:space="preserve"> each year</w:t>
      </w:r>
      <w:r w:rsidR="00FC09AF">
        <w:t>) to beg</w:t>
      </w:r>
      <w:r w:rsidR="00F0005D">
        <w:t>in as early as 2024 with implementation of the formal SDM process to begin</w:t>
      </w:r>
      <w:r w:rsidR="00CB33DF">
        <w:t xml:space="preserve"> in 2028.</w:t>
      </w:r>
    </w:p>
    <w:p w14:paraId="37039D20" w14:textId="7F93AA16" w:rsidR="00690F62" w:rsidRPr="00690F62" w:rsidRDefault="00690F62" w:rsidP="00C81A70">
      <w:pPr>
        <w:pStyle w:val="NoSpacing"/>
      </w:pPr>
      <w:bookmarkStart w:id="77" w:name="_Hlk150873636"/>
      <w:r>
        <w:rPr>
          <w:noProof/>
        </w:rPr>
        <mc:AlternateContent>
          <mc:Choice Requires="wps">
            <w:drawing>
              <wp:inline distT="0" distB="0" distL="0" distR="0" wp14:anchorId="007C2DA5" wp14:editId="393E17EA">
                <wp:extent cx="5905500" cy="1404620"/>
                <wp:effectExtent l="0" t="0" r="19050" b="1460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404620"/>
                        </a:xfrm>
                        <a:prstGeom prst="rect">
                          <a:avLst/>
                        </a:prstGeom>
                        <a:solidFill>
                          <a:schemeClr val="accent6">
                            <a:lumMod val="60000"/>
                            <a:lumOff val="40000"/>
                          </a:schemeClr>
                        </a:solidFill>
                        <a:ln w="9525">
                          <a:solidFill>
                            <a:srgbClr val="000000"/>
                          </a:solidFill>
                          <a:miter lim="800000"/>
                          <a:headEnd/>
                          <a:tailEnd/>
                        </a:ln>
                      </wps:spPr>
                      <wps:txbx>
                        <w:txbxContent>
                          <w:p w14:paraId="63F6F2AD" w14:textId="01605D87" w:rsidR="00690F62" w:rsidRPr="00DE40BA" w:rsidRDefault="00690F62" w:rsidP="00C81A70">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wps:txbx>
                      <wps:bodyPr rot="0" vert="horz" wrap="square" lIns="91440" tIns="45720" rIns="91440" bIns="45720" anchor="t" anchorCtr="0">
                        <a:spAutoFit/>
                      </wps:bodyPr>
                    </wps:wsp>
                  </a:graphicData>
                </a:graphic>
              </wp:inline>
            </w:drawing>
          </mc:Choice>
          <mc:Fallback>
            <w:pict>
              <v:shape w14:anchorId="007C2DA5" id="Text Box 2" o:spid="_x0000_s1028" type="#_x0000_t202" style="width:4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" fillcolor="#a8d08d [1945]">
                <v:textbox style="mso-fit-shape-to-text:t">
                  <w:txbxContent>
                    <w:p w14:paraId="63F6F2AD" w14:textId="01605D87" w:rsidR="00690F62" w:rsidRPr="00DE40BA" w:rsidRDefault="00690F62" w:rsidP="00C81A70">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v:textbox>
                <w10:anchorlock/>
              </v:shape>
            </w:pict>
          </mc:Fallback>
        </mc:AlternateContent>
      </w:r>
    </w:p>
    <w:p w14:paraId="54488418" w14:textId="516C9A06" w:rsidR="00110015" w:rsidRPr="00D07D3B" w:rsidRDefault="00DF60E8" w:rsidP="00D07D3B">
      <w:pPr>
        <w:pStyle w:val="Heading1"/>
      </w:pPr>
      <w:bookmarkStart w:id="78" w:name="_Toc157060221"/>
      <w:r w:rsidRPr="00D07D3B">
        <w:t>EBQ #1</w:t>
      </w:r>
      <w:r w:rsidR="00D07D3B" w:rsidRPr="00D07D3B">
        <w:t xml:space="preserve"> – </w:t>
      </w:r>
      <w:r w:rsidR="00110015" w:rsidRPr="00D07D3B">
        <w:rPr>
          <w:i/>
          <w:iCs/>
        </w:rPr>
        <w:t>How effective is it to use Program water to maintain suitable</w:t>
      </w:r>
      <w:r w:rsidR="007563C9" w:rsidRPr="00D07D3B">
        <w:rPr>
          <w:i/>
          <w:iCs/>
        </w:rPr>
        <w:t xml:space="preserve">* WC </w:t>
      </w:r>
      <w:r w:rsidR="00110015" w:rsidRPr="00D07D3B">
        <w:rPr>
          <w:i/>
          <w:iCs/>
        </w:rPr>
        <w:t>roosting habitat?</w:t>
      </w:r>
      <w:bookmarkEnd w:id="78"/>
    </w:p>
    <w:p w14:paraId="23F7309E" w14:textId="7D008114" w:rsidR="00DF60E8" w:rsidRPr="007563C9" w:rsidRDefault="00110015" w:rsidP="00110015">
      <w:pPr>
        <w:rPr>
          <w:sz w:val="16"/>
          <w:szCs w:val="16"/>
        </w:rPr>
      </w:pPr>
      <w:r w:rsidRPr="007563C9">
        <w:rPr>
          <w:sz w:val="16"/>
          <w:szCs w:val="16"/>
        </w:rPr>
        <w:t>*Channels with ≥ 650 ft maximum width unobstructed by dense vegetation (MUCW) are highly suitable for whooping crane roosting.</w:t>
      </w:r>
    </w:p>
    <w:bookmarkEnd w:id="77"/>
    <w:p w14:paraId="5E036656" w14:textId="77777777" w:rsidR="00F9043D" w:rsidRDefault="00F9043D" w:rsidP="00562562"/>
    <w:p w14:paraId="1144D2C9" w14:textId="77777777" w:rsidR="00F26DCD" w:rsidRDefault="00F26DCD" w:rsidP="00615E4C">
      <w:pPr>
        <w:pStyle w:val="Heading2"/>
      </w:pPr>
      <w:bookmarkStart w:id="79" w:name="_Toc155880569"/>
      <w:bookmarkStart w:id="80" w:name="_Toc157060222"/>
      <w:bookmarkStart w:id="81" w:name="_Hlk150933285"/>
      <w:r>
        <w:t>2024 Assessment:</w:t>
      </w:r>
      <w:bookmarkEnd w:id="79"/>
      <w:bookmarkEnd w:id="80"/>
    </w:p>
    <w:p w14:paraId="2C0A87C5" w14:textId="477629F0" w:rsidR="00615EA7" w:rsidRDefault="0097072B" w:rsidP="008A4708">
      <w:pPr>
        <w:pStyle w:val="ListParagraph"/>
        <w:numPr>
          <w:ilvl w:val="0"/>
          <w:numId w:val="9"/>
        </w:numPr>
        <w:ind w:left="360"/>
      </w:pPr>
      <w:r>
        <w:t xml:space="preserve">Germination suppression flow releases </w:t>
      </w:r>
      <w:r w:rsidR="008A4708">
        <w:t xml:space="preserve">appear to </w:t>
      </w:r>
      <w:r>
        <w:t xml:space="preserve">have been </w:t>
      </w:r>
      <w:r w:rsidR="00D00992">
        <w:t xml:space="preserve">effective in maintaining MUCW of the main channel in segments where enough flow is sufficiently consolidated to inundate the channel during the release. </w:t>
      </w:r>
      <w:r w:rsidR="00FB2D6C">
        <w:t xml:space="preserve">Vegetation establishment </w:t>
      </w:r>
      <w:r w:rsidR="008A4708">
        <w:t>did occur in</w:t>
      </w:r>
      <w:r w:rsidR="00FB2D6C">
        <w:t xml:space="preserve"> segments </w:t>
      </w:r>
      <w:r w:rsidR="00D00992">
        <w:t>with substantial flow splits (</w:t>
      </w:r>
      <w:r w:rsidR="00FB2D6C">
        <w:t>&gt;40% of flow in side channels) and high channel width relative to flow</w:t>
      </w:r>
      <w:r w:rsidR="008A4708">
        <w:t xml:space="preserve">. Vegetation was mechanically removed in those segments. </w:t>
      </w:r>
      <w:r w:rsidR="00D26A7B" w:rsidRPr="0097072B">
        <w:t>Th</w:t>
      </w:r>
      <w:r w:rsidR="00615EA7" w:rsidRPr="0097072B">
        <w:t>e first formal assessment of effectiveness is scheduled for 2024</w:t>
      </w:r>
      <w:r w:rsidR="00615EA7">
        <w:t>.</w:t>
      </w:r>
    </w:p>
    <w:p w14:paraId="741DE6FD" w14:textId="77777777" w:rsidR="00615EA7" w:rsidRPr="008A6B12" w:rsidRDefault="00615EA7" w:rsidP="00615EA7">
      <w:pPr>
        <w:ind w:right="1350"/>
        <w:jc w:val="both"/>
        <w:rPr>
          <w:sz w:val="18"/>
          <w:szCs w:val="18"/>
        </w:rPr>
      </w:pPr>
    </w:p>
    <w:p w14:paraId="390AF7FA" w14:textId="4A1449BF" w:rsidR="00F9043D" w:rsidRDefault="007A45F3" w:rsidP="00615E4C">
      <w:pPr>
        <w:pStyle w:val="Heading2"/>
      </w:pPr>
      <w:bookmarkStart w:id="82" w:name="_Toc155880570"/>
      <w:bookmarkStart w:id="83" w:name="_Toc157060223"/>
      <w:r>
        <w:t>What the science says in 2024:</w:t>
      </w:r>
      <w:bookmarkEnd w:id="82"/>
      <w:bookmarkEnd w:id="83"/>
    </w:p>
    <w:p w14:paraId="789493C5" w14:textId="6C7E7914" w:rsidR="007A45F3" w:rsidRDefault="00BF07EC" w:rsidP="009F12E6">
      <w:pPr>
        <w:pStyle w:val="ListParagraph"/>
        <w:numPr>
          <w:ilvl w:val="0"/>
          <w:numId w:val="3"/>
        </w:numPr>
      </w:pPr>
      <w:r>
        <w:t>Based upon 2017-2022</w:t>
      </w:r>
      <w:r w:rsidR="0055632D">
        <w:t xml:space="preserve"> data, MUCW has remained relatively stable across the AHR wit</w:t>
      </w:r>
      <w:r w:rsidR="00E16EA1">
        <w:t>h limited mechanical intervention</w:t>
      </w:r>
      <w:r w:rsidR="0067587C">
        <w:t xml:space="preserve"> in 2021-2022</w:t>
      </w:r>
      <w:r w:rsidR="0055632D">
        <w:t>.</w:t>
      </w:r>
      <w:r w:rsidR="009D14BA">
        <w:t xml:space="preserve"> </w:t>
      </w:r>
      <w:r w:rsidR="008A4708">
        <w:t xml:space="preserve">This despite </w:t>
      </w:r>
      <w:r w:rsidR="0046327C">
        <w:t>declining flows and the</w:t>
      </w:r>
      <w:r w:rsidR="008A4708">
        <w:t xml:space="preserve"> absence of peak flows of a magnitude sufficient to scour in-channel vegetation</w:t>
      </w:r>
      <w:r w:rsidR="009D14BA">
        <w:t>.</w:t>
      </w:r>
      <w:r w:rsidR="0018201B">
        <w:t xml:space="preserve"> </w:t>
      </w:r>
      <w:r w:rsidR="0046327C">
        <w:t>This is a much different response than the early 2000s when declining flows were followed by large reductions in MUCW</w:t>
      </w:r>
      <w:r w:rsidR="0067091A">
        <w:t xml:space="preserve"> (</w:t>
      </w:r>
      <w:r w:rsidR="0067091A" w:rsidRPr="00064AFB">
        <w:rPr>
          <w:b/>
          <w:bCs/>
        </w:rPr>
        <w:t xml:space="preserve">Figure </w:t>
      </w:r>
      <w:r w:rsidR="00B8039E">
        <w:rPr>
          <w:b/>
          <w:bCs/>
        </w:rPr>
        <w:t>5</w:t>
      </w:r>
      <w:r w:rsidR="0067091A">
        <w:t>)</w:t>
      </w:r>
      <w:r w:rsidR="0046327C">
        <w:t xml:space="preserve">. </w:t>
      </w:r>
    </w:p>
    <w:p w14:paraId="503967C5" w14:textId="054E84EB" w:rsidR="00E16EA1" w:rsidRDefault="0018201B" w:rsidP="009F12E6">
      <w:pPr>
        <w:pStyle w:val="ListParagraph"/>
        <w:numPr>
          <w:ilvl w:val="0"/>
          <w:numId w:val="3"/>
        </w:numPr>
      </w:pPr>
      <w:r>
        <w:t xml:space="preserve">The smallest reductions in MUCW occurred in segments where germination suppression flow release was sufficient to inundate the channel. The largest reductions in MUCW occurred in segments where flow splits in combination with historical channel management (widening) resulted in </w:t>
      </w:r>
      <w:r w:rsidR="00CD3D66">
        <w:t>incomplete channel inundation during the release.</w:t>
      </w:r>
    </w:p>
    <w:p w14:paraId="51BD5127" w14:textId="1E02ED70" w:rsidR="00CD3D66" w:rsidRDefault="00CD3D66" w:rsidP="009F12E6">
      <w:pPr>
        <w:pStyle w:val="ListParagraph"/>
        <w:numPr>
          <w:ilvl w:val="0"/>
          <w:numId w:val="3"/>
        </w:numPr>
      </w:pPr>
      <w:r>
        <w:t xml:space="preserve">Mechanical management and </w:t>
      </w:r>
      <w:r w:rsidR="00017617" w:rsidRPr="00017617">
        <w:rPr>
          <w:i/>
          <w:iCs/>
        </w:rPr>
        <w:t>P</w:t>
      </w:r>
      <w:r w:rsidRPr="00017617">
        <w:rPr>
          <w:i/>
          <w:iCs/>
        </w:rPr>
        <w:t>hragmites</w:t>
      </w:r>
      <w:r>
        <w:t xml:space="preserve"> spraying are potentially confounding factors in evaluation of release effectiveness. The 2024 assessment will explicitly include and control for these activities.</w:t>
      </w:r>
    </w:p>
    <w:p w14:paraId="7F94C0D7" w14:textId="77777777" w:rsidR="001C5663" w:rsidRDefault="001C5663" w:rsidP="001C5663"/>
    <w:p w14:paraId="205E1AC2" w14:textId="5B774CAD" w:rsidR="0069330B" w:rsidRDefault="004E19F1" w:rsidP="001A26A5">
      <w:pPr>
        <w:jc w:val="center"/>
      </w:pPr>
      <w:r>
        <w:rPr>
          <w:noProof/>
        </w:rPr>
        <w:drawing>
          <wp:inline distT="0" distB="0" distL="0" distR="0" wp14:anchorId="2A97C011" wp14:editId="1A93A630">
            <wp:extent cx="5943600" cy="3116580"/>
            <wp:effectExtent l="0" t="0" r="0" b="7620"/>
            <wp:docPr id="1461183647" name="Chart 1">
              <a:extLst xmlns:a="http://schemas.openxmlformats.org/drawingml/2006/main">
                <a:ext uri="{FF2B5EF4-FFF2-40B4-BE49-F238E27FC236}">
                  <a16:creationId xmlns:a16="http://schemas.microsoft.com/office/drawing/2014/main" id="{BAFC9841-9802-4259-AAC8-7DF139F84A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33E74A0" w14:textId="4B5956FB" w:rsidR="00AE5228" w:rsidRPr="00C540C5" w:rsidRDefault="00AE5228" w:rsidP="00AE5228">
      <w:pPr>
        <w:rPr>
          <w:sz w:val="18"/>
          <w:szCs w:val="18"/>
        </w:rPr>
      </w:pPr>
      <w:r w:rsidRPr="00414C9D">
        <w:rPr>
          <w:b/>
          <w:bCs/>
          <w:sz w:val="18"/>
          <w:szCs w:val="18"/>
        </w:rPr>
        <w:t xml:space="preserve">Figure </w:t>
      </w:r>
      <w:r w:rsidR="00B8039E">
        <w:rPr>
          <w:b/>
          <w:bCs/>
          <w:sz w:val="18"/>
          <w:szCs w:val="18"/>
        </w:rPr>
        <w:t>5</w:t>
      </w:r>
      <w:r w:rsidRPr="00414C9D">
        <w:rPr>
          <w:b/>
          <w:bCs/>
          <w:sz w:val="18"/>
          <w:szCs w:val="18"/>
        </w:rPr>
        <w:t>.</w:t>
      </w:r>
      <w:r w:rsidRPr="00C540C5">
        <w:rPr>
          <w:sz w:val="18"/>
          <w:szCs w:val="18"/>
        </w:rPr>
        <w:t xml:space="preserve"> Mean of </w:t>
      </w:r>
      <w:r w:rsidR="004E19F1" w:rsidRPr="00C540C5">
        <w:rPr>
          <w:sz w:val="18"/>
          <w:szCs w:val="18"/>
        </w:rPr>
        <w:t>maximum unobstructed channel width (MUCW)</w:t>
      </w:r>
      <w:r w:rsidRPr="00C540C5">
        <w:rPr>
          <w:sz w:val="18"/>
          <w:szCs w:val="18"/>
        </w:rPr>
        <w:t xml:space="preserve"> through time</w:t>
      </w:r>
      <w:r w:rsidR="008B5FEE" w:rsidRPr="00C540C5">
        <w:rPr>
          <w:sz w:val="18"/>
          <w:szCs w:val="18"/>
        </w:rPr>
        <w:t xml:space="preserve"> plotted with mean annual discharge at the Grand Island gage</w:t>
      </w:r>
      <w:r w:rsidRPr="00C540C5">
        <w:rPr>
          <w:sz w:val="18"/>
          <w:szCs w:val="18"/>
        </w:rPr>
        <w:t xml:space="preserve">. </w:t>
      </w:r>
      <w:r w:rsidR="004E19F1" w:rsidRPr="00C540C5">
        <w:rPr>
          <w:sz w:val="18"/>
          <w:szCs w:val="18"/>
        </w:rPr>
        <w:t>MUCW</w:t>
      </w:r>
      <w:r w:rsidRPr="00C540C5">
        <w:rPr>
          <w:sz w:val="18"/>
          <w:szCs w:val="18"/>
        </w:rPr>
        <w:t xml:space="preserve"> remained stable after 2019 despite decreasing river discharge</w:t>
      </w:r>
      <w:r w:rsidR="008B5FEE" w:rsidRPr="00C540C5">
        <w:rPr>
          <w:sz w:val="18"/>
          <w:szCs w:val="18"/>
        </w:rPr>
        <w:t>. This contrasts with the narrowing observed in the early 2000s following a similar decline in discharge.</w:t>
      </w:r>
    </w:p>
    <w:p w14:paraId="3A324729" w14:textId="3C51FA7F" w:rsidR="007A45F3" w:rsidRDefault="00983091" w:rsidP="00615E4C">
      <w:pPr>
        <w:pStyle w:val="Heading2"/>
      </w:pPr>
      <w:bookmarkStart w:id="84" w:name="_Toc155880571"/>
      <w:bookmarkStart w:id="85" w:name="_Toc157060224"/>
      <w:r>
        <w:t>We estimate with confidence that:</w:t>
      </w:r>
      <w:bookmarkEnd w:id="84"/>
      <w:bookmarkEnd w:id="85"/>
    </w:p>
    <w:p w14:paraId="42926AA1" w14:textId="69786E12" w:rsidR="00983091" w:rsidRDefault="009D14BA" w:rsidP="009F12E6">
      <w:pPr>
        <w:pStyle w:val="ListParagraph"/>
        <w:numPr>
          <w:ilvl w:val="0"/>
          <w:numId w:val="3"/>
        </w:numPr>
      </w:pPr>
      <w:r>
        <w:t>Better addressed upon completion of first round multi-year assessment.</w:t>
      </w:r>
    </w:p>
    <w:p w14:paraId="12913514" w14:textId="77777777" w:rsidR="00484073" w:rsidRDefault="00484073" w:rsidP="00562562"/>
    <w:p w14:paraId="1A73D138" w14:textId="2C5CD888" w:rsidR="00983091" w:rsidRDefault="00DE26EC" w:rsidP="00615E4C">
      <w:pPr>
        <w:pStyle w:val="Heading2"/>
      </w:pPr>
      <w:bookmarkStart w:id="86" w:name="_Toc155880572"/>
      <w:bookmarkStart w:id="87" w:name="_Toc157060225"/>
      <w:r>
        <w:t>Answering EBQ #1 during the Extension:</w:t>
      </w:r>
      <w:bookmarkEnd w:id="86"/>
      <w:bookmarkEnd w:id="87"/>
    </w:p>
    <w:p w14:paraId="3005CBCD" w14:textId="77777777" w:rsidR="00845D7B" w:rsidRDefault="00D26A7B" w:rsidP="00AE52F0">
      <w:pPr>
        <w:pStyle w:val="ListParagraph"/>
        <w:numPr>
          <w:ilvl w:val="0"/>
          <w:numId w:val="3"/>
        </w:numPr>
      </w:pPr>
      <w:r>
        <w:t>First multi-year evaluation of effectiveness is scheduled for 2024.</w:t>
      </w:r>
    </w:p>
    <w:p w14:paraId="57D767D2" w14:textId="4FE6DA3F" w:rsidR="00845D7B" w:rsidRDefault="00D26A7B" w:rsidP="00AE52F0">
      <w:pPr>
        <w:pStyle w:val="ListParagraph"/>
        <w:numPr>
          <w:ilvl w:val="0"/>
          <w:numId w:val="3"/>
        </w:numPr>
      </w:pPr>
      <w:r>
        <w:t xml:space="preserve">At that </w:t>
      </w:r>
      <w:r w:rsidR="00244B8F">
        <w:t>point,</w:t>
      </w:r>
      <w:r>
        <w:t xml:space="preserve"> a decision will be made to continue germination suppression release flows as currently being implemented and as water allows or design a new flow management experiment.</w:t>
      </w:r>
    </w:p>
    <w:p w14:paraId="299A8628" w14:textId="6FDEF7DA" w:rsidR="00D26A7B" w:rsidRDefault="00D26A7B" w:rsidP="00AE52F0">
      <w:pPr>
        <w:pStyle w:val="ListParagraph"/>
        <w:numPr>
          <w:ilvl w:val="0"/>
          <w:numId w:val="3"/>
        </w:numPr>
      </w:pPr>
      <w:r>
        <w:t>A second multi-year assessment is scheduled for 2028.</w:t>
      </w:r>
    </w:p>
    <w:p w14:paraId="20991089" w14:textId="77777777" w:rsidR="0097072B" w:rsidRDefault="0097072B" w:rsidP="0097072B">
      <w:pPr>
        <w:pStyle w:val="ListParagraph"/>
        <w:ind w:left="360"/>
      </w:pPr>
    </w:p>
    <w:p w14:paraId="746FDB2D" w14:textId="0955AB80" w:rsidR="00D768AE" w:rsidRDefault="00D23407" w:rsidP="00615E4C">
      <w:pPr>
        <w:pStyle w:val="Heading2"/>
      </w:pPr>
      <w:bookmarkStart w:id="88" w:name="_Toc155880573"/>
      <w:bookmarkStart w:id="89" w:name="_Toc157060226"/>
      <w:r>
        <w:t>Management implications:</w:t>
      </w:r>
      <w:bookmarkEnd w:id="81"/>
      <w:bookmarkEnd w:id="88"/>
      <w:bookmarkEnd w:id="89"/>
    </w:p>
    <w:p w14:paraId="1CE8BB41" w14:textId="15EC260F" w:rsidR="005514FA" w:rsidRDefault="0097072B" w:rsidP="00A161DD">
      <w:pPr>
        <w:pStyle w:val="ListParagraph"/>
        <w:numPr>
          <w:ilvl w:val="0"/>
          <w:numId w:val="3"/>
        </w:numPr>
      </w:pPr>
      <w:r>
        <w:t>At</w:t>
      </w:r>
      <w:r w:rsidR="005514FA">
        <w:t xml:space="preserve"> locations like Rowe Sanctuary, where a channel flow split diverted water away from a mechanically widened channel </w:t>
      </w:r>
      <w:r w:rsidR="00AE52F0">
        <w:t>(</w:t>
      </w:r>
      <w:r w:rsidR="005514FA">
        <w:t xml:space="preserve">reducing the amount of the channel </w:t>
      </w:r>
      <w:r>
        <w:t>inundation</w:t>
      </w:r>
      <w:r w:rsidR="005514FA">
        <w:t xml:space="preserve"> during the flow release</w:t>
      </w:r>
      <w:r w:rsidR="00AE52F0">
        <w:t xml:space="preserve">) </w:t>
      </w:r>
      <w:r w:rsidR="005514FA">
        <w:t xml:space="preserve">germination suppression releases were ineffective at maintaining </w:t>
      </w:r>
      <w:r w:rsidR="00AE52F0">
        <w:t xml:space="preserve">MUCW. </w:t>
      </w:r>
    </w:p>
    <w:p w14:paraId="279A2DF3" w14:textId="6B96CD37" w:rsidR="00A161DD" w:rsidRDefault="00A161DD" w:rsidP="00A161DD">
      <w:pPr>
        <w:sectPr w:rsidR="00A161DD" w:rsidSect="005B280F">
          <w:pgSz w:w="12240" w:h="15840"/>
          <w:pgMar w:top="1440" w:right="1440" w:bottom="1440" w:left="1440" w:header="720" w:footer="720" w:gutter="0"/>
          <w:lnNumType w:countBy="1" w:restart="newSection"/>
          <w:cols w:space="720"/>
          <w:docGrid w:linePitch="360"/>
        </w:sectPr>
      </w:pPr>
    </w:p>
    <w:p w14:paraId="2543E3EE" w14:textId="4195ACBB" w:rsidR="00C81A70" w:rsidRDefault="00C81A70" w:rsidP="00C81A70">
      <w:pPr>
        <w:pStyle w:val="NoSpacing"/>
      </w:pPr>
      <w:bookmarkStart w:id="90" w:name="_Hlk155335501"/>
      <w:r>
        <w:rPr>
          <w:noProof/>
        </w:rPr>
        <mc:AlternateContent>
          <mc:Choice Requires="wps">
            <w:drawing>
              <wp:inline distT="0" distB="0" distL="0" distR="0" wp14:anchorId="28F27236" wp14:editId="7814377D">
                <wp:extent cx="5905500" cy="1404620"/>
                <wp:effectExtent l="0" t="0" r="19050" b="14605"/>
                <wp:docPr id="12886027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404620"/>
                        </a:xfrm>
                        <a:prstGeom prst="rect">
                          <a:avLst/>
                        </a:prstGeom>
                        <a:solidFill>
                          <a:srgbClr val="70AD47">
                            <a:lumMod val="60000"/>
                            <a:lumOff val="40000"/>
                          </a:srgbClr>
                        </a:solidFill>
                        <a:ln w="9525">
                          <a:solidFill>
                            <a:srgbClr val="000000"/>
                          </a:solidFill>
                          <a:miter lim="800000"/>
                          <a:headEnd/>
                          <a:tailEnd/>
                        </a:ln>
                      </wps:spPr>
                      <wps:txbx>
                        <w:txbxContent>
                          <w:p w14:paraId="13DE66EB" w14:textId="77777777" w:rsidR="00C81A70" w:rsidRPr="00DE40BA" w:rsidRDefault="00C81A70" w:rsidP="00C81A70">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wps:txbx>
                      <wps:bodyPr rot="0" vert="horz" wrap="square" lIns="91440" tIns="45720" rIns="91440" bIns="45720" anchor="t" anchorCtr="0">
                        <a:spAutoFit/>
                      </wps:bodyPr>
                    </wps:wsp>
                  </a:graphicData>
                </a:graphic>
              </wp:inline>
            </w:drawing>
          </mc:Choice>
          <mc:Fallback>
            <w:pict>
              <v:shape w14:anchorId="28F27236" id="_x0000_s1029" type="#_x0000_t202" style="width:4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" fillcolor="#a9d18e">
                <v:textbox style="mso-fit-shape-to-text:t">
                  <w:txbxContent>
                    <w:p w14:paraId="13DE66EB" w14:textId="77777777" w:rsidR="00C81A70" w:rsidRPr="00DE40BA" w:rsidRDefault="00C81A70" w:rsidP="00C81A70">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v:textbox>
                <w10:anchorlock/>
              </v:shape>
            </w:pict>
          </mc:Fallback>
        </mc:AlternateContent>
      </w:r>
    </w:p>
    <w:p w14:paraId="6C44CCF5" w14:textId="05E17414" w:rsidR="00D23407" w:rsidRPr="00D07D3B" w:rsidRDefault="00D768AE" w:rsidP="00D07D3B">
      <w:pPr>
        <w:pStyle w:val="Heading1"/>
      </w:pPr>
      <w:bookmarkStart w:id="91" w:name="_Toc157060227"/>
      <w:r w:rsidRPr="00D07D3B">
        <w:t>EBQ #2</w:t>
      </w:r>
      <w:r w:rsidR="00D07D3B" w:rsidRPr="00D07D3B">
        <w:t xml:space="preserve"> – </w:t>
      </w:r>
      <w:r w:rsidR="00AE2BC1" w:rsidRPr="00D07D3B">
        <w:rPr>
          <w:i/>
          <w:iCs/>
        </w:rPr>
        <w:t>How effective is Program management of Phragmites for maintaining suitable whooping crane roosting habitat?</w:t>
      </w:r>
      <w:bookmarkEnd w:id="91"/>
    </w:p>
    <w:p w14:paraId="3B6DB1E5" w14:textId="30B9BAEE" w:rsidR="00AE2BC1" w:rsidRPr="00AE2BC1" w:rsidRDefault="001A6C38" w:rsidP="00562562">
      <w:r>
        <w:rPr>
          <w:noProof/>
        </w:rPr>
        <w:drawing>
          <wp:anchor distT="0" distB="0" distL="114300" distR="114300" simplePos="0" relativeHeight="251673600" behindDoc="0" locked="0" layoutInCell="1" allowOverlap="1" wp14:anchorId="26CEE35C" wp14:editId="4E595BEB">
            <wp:simplePos x="0" y="0"/>
            <wp:positionH relativeFrom="column">
              <wp:posOffset>3441700</wp:posOffset>
            </wp:positionH>
            <wp:positionV relativeFrom="paragraph">
              <wp:posOffset>106045</wp:posOffset>
            </wp:positionV>
            <wp:extent cx="2373630" cy="1332865"/>
            <wp:effectExtent l="0" t="0" r="7620" b="635"/>
            <wp:wrapSquare wrapText="bothSides"/>
            <wp:docPr id="13716060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73630" cy="1332865"/>
                    </a:xfrm>
                    <a:prstGeom prst="rect">
                      <a:avLst/>
                    </a:prstGeom>
                    <a:noFill/>
                  </pic:spPr>
                </pic:pic>
              </a:graphicData>
            </a:graphic>
            <wp14:sizeRelH relativeFrom="margin">
              <wp14:pctWidth>0</wp14:pctWidth>
            </wp14:sizeRelH>
            <wp14:sizeRelV relativeFrom="margin">
              <wp14:pctHeight>0</wp14:pctHeight>
            </wp14:sizeRelV>
          </wp:anchor>
        </w:drawing>
      </w:r>
    </w:p>
    <w:p w14:paraId="65218187" w14:textId="04197334" w:rsidR="006C361E" w:rsidRDefault="006C361E" w:rsidP="00615E4C">
      <w:pPr>
        <w:pStyle w:val="Heading2"/>
      </w:pPr>
      <w:bookmarkStart w:id="92" w:name="_Toc155880575"/>
      <w:bookmarkStart w:id="93" w:name="_Toc157060228"/>
      <w:r>
        <w:t>2024 Assessment</w:t>
      </w:r>
      <w:r w:rsidR="0005577C">
        <w:t>:</w:t>
      </w:r>
      <w:bookmarkEnd w:id="92"/>
      <w:bookmarkEnd w:id="93"/>
    </w:p>
    <w:p w14:paraId="70F1E1BA" w14:textId="3FD821E0" w:rsidR="00863443" w:rsidRDefault="004832AE" w:rsidP="00615EA7">
      <w:pPr>
        <w:pStyle w:val="ListParagraph"/>
        <w:numPr>
          <w:ilvl w:val="0"/>
          <w:numId w:val="3"/>
        </w:numPr>
      </w:pPr>
      <w:r>
        <w:t xml:space="preserve">Benefits for slowing </w:t>
      </w:r>
      <w:r w:rsidRPr="004832AE">
        <w:rPr>
          <w:i/>
          <w:iCs/>
        </w:rPr>
        <w:t>Phragmites</w:t>
      </w:r>
      <w:r>
        <w:t xml:space="preserve"> expansion into the active channel have been seen where </w:t>
      </w:r>
      <w:proofErr w:type="spellStart"/>
      <w:r>
        <w:t>bankline</w:t>
      </w:r>
      <w:proofErr w:type="spellEnd"/>
      <w:r>
        <w:t xml:space="preserve"> patches </w:t>
      </w:r>
      <w:r w:rsidR="00863443">
        <w:t>are inundated by deep, fast-flowing water.</w:t>
      </w:r>
    </w:p>
    <w:p w14:paraId="79C6B4A1" w14:textId="7A6D68DC" w:rsidR="00615EA7" w:rsidRDefault="00615EA7" w:rsidP="00615EA7">
      <w:pPr>
        <w:pStyle w:val="ListParagraph"/>
        <w:numPr>
          <w:ilvl w:val="0"/>
          <w:numId w:val="3"/>
        </w:numPr>
      </w:pPr>
      <w:r>
        <w:t xml:space="preserve">The first formal assessment of effectiveness is scheduled for </w:t>
      </w:r>
      <w:r w:rsidR="00580AC2">
        <w:t>2025</w:t>
      </w:r>
      <w:r>
        <w:t>.</w:t>
      </w:r>
    </w:p>
    <w:p w14:paraId="7B7566A3" w14:textId="5542F5CD" w:rsidR="00E61F4E" w:rsidRPr="00E61F4E" w:rsidRDefault="00E61F4E" w:rsidP="00615EA7">
      <w:pPr>
        <w:ind w:right="1530"/>
        <w:rPr>
          <w:sz w:val="18"/>
          <w:szCs w:val="18"/>
        </w:rPr>
      </w:pPr>
    </w:p>
    <w:p w14:paraId="4667C6B7" w14:textId="77777777" w:rsidR="006C361E" w:rsidRDefault="006C361E" w:rsidP="00615E4C">
      <w:pPr>
        <w:pStyle w:val="Heading2"/>
      </w:pPr>
      <w:bookmarkStart w:id="94" w:name="_Toc155880576"/>
      <w:bookmarkStart w:id="95" w:name="_Toc157060229"/>
      <w:r>
        <w:t>What the science says in 2024:</w:t>
      </w:r>
      <w:bookmarkEnd w:id="94"/>
      <w:bookmarkEnd w:id="95"/>
    </w:p>
    <w:p w14:paraId="7810EB7D" w14:textId="40D086EB" w:rsidR="00122BA1" w:rsidRDefault="00D31077" w:rsidP="00D31077">
      <w:pPr>
        <w:pStyle w:val="ListParagraph"/>
        <w:numPr>
          <w:ilvl w:val="0"/>
          <w:numId w:val="3"/>
        </w:numPr>
        <w:ind w:right="3870"/>
      </w:pPr>
      <w:r>
        <w:rPr>
          <w:noProof/>
        </w:rPr>
        <w:drawing>
          <wp:anchor distT="0" distB="0" distL="114300" distR="114300" simplePos="0" relativeHeight="251661312" behindDoc="0" locked="0" layoutInCell="1" allowOverlap="1" wp14:anchorId="0428870B" wp14:editId="21664EAE">
            <wp:simplePos x="0" y="0"/>
            <wp:positionH relativeFrom="margin">
              <wp:posOffset>3404870</wp:posOffset>
            </wp:positionH>
            <wp:positionV relativeFrom="paragraph">
              <wp:posOffset>46990</wp:posOffset>
            </wp:positionV>
            <wp:extent cx="2510790" cy="2573020"/>
            <wp:effectExtent l="0" t="0" r="3810" b="0"/>
            <wp:wrapSquare wrapText="bothSides"/>
            <wp:docPr id="125291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10790" cy="2573020"/>
                    </a:xfrm>
                    <a:prstGeom prst="rect">
                      <a:avLst/>
                    </a:prstGeom>
                    <a:noFill/>
                  </pic:spPr>
                </pic:pic>
              </a:graphicData>
            </a:graphic>
            <wp14:sizeRelH relativeFrom="margin">
              <wp14:pctWidth>0</wp14:pctWidth>
            </wp14:sizeRelH>
            <wp14:sizeRelV relativeFrom="margin">
              <wp14:pctHeight>0</wp14:pctHeight>
            </wp14:sizeRelV>
          </wp:anchor>
        </w:drawing>
      </w:r>
      <w:r w:rsidR="00D63696" w:rsidRPr="00302067">
        <w:rPr>
          <w:i/>
          <w:iCs/>
        </w:rPr>
        <w:t>Phragmites</w:t>
      </w:r>
      <w:r w:rsidR="00D63696">
        <w:t xml:space="preserve"> stolon growth into the channel begins in </w:t>
      </w:r>
      <w:r w:rsidR="00BF122B">
        <w:t>May</w:t>
      </w:r>
      <w:r w:rsidR="00122BA1">
        <w:t>.</w:t>
      </w:r>
    </w:p>
    <w:p w14:paraId="537CACA8" w14:textId="6D6C7A3E" w:rsidR="00484073" w:rsidRDefault="00122BA1" w:rsidP="00D31077">
      <w:pPr>
        <w:pStyle w:val="ListParagraph"/>
        <w:numPr>
          <w:ilvl w:val="0"/>
          <w:numId w:val="3"/>
        </w:numPr>
        <w:ind w:right="3870"/>
      </w:pPr>
      <w:r>
        <w:t>June flow releases tend to change the direction of growth</w:t>
      </w:r>
      <w:r w:rsidR="007224F8">
        <w:t xml:space="preserve"> where water is deep and fast-flowing</w:t>
      </w:r>
      <w:r>
        <w:t xml:space="preserve">, confining stolon networks along downstream </w:t>
      </w:r>
      <w:proofErr w:type="spellStart"/>
      <w:r>
        <w:t>banklines</w:t>
      </w:r>
      <w:proofErr w:type="spellEnd"/>
      <w:r>
        <w:t>.</w:t>
      </w:r>
      <w:r w:rsidR="00113AA5">
        <w:t xml:space="preserve"> Areas of low or no velocity do not benefit from this management action in terms of </w:t>
      </w:r>
      <w:r w:rsidR="00863443">
        <w:t>confining</w:t>
      </w:r>
      <w:r w:rsidR="00113AA5">
        <w:t xml:space="preserve"> </w:t>
      </w:r>
      <w:r w:rsidR="00113AA5" w:rsidRPr="00863443">
        <w:rPr>
          <w:i/>
          <w:iCs/>
        </w:rPr>
        <w:t>Phragmites</w:t>
      </w:r>
      <w:r w:rsidR="00113AA5">
        <w:t xml:space="preserve"> expansion.</w:t>
      </w:r>
    </w:p>
    <w:p w14:paraId="6A649084" w14:textId="2D097400" w:rsidR="00122BA1" w:rsidRDefault="008C6F28" w:rsidP="00D31077">
      <w:pPr>
        <w:pStyle w:val="ListParagraph"/>
        <w:numPr>
          <w:ilvl w:val="0"/>
          <w:numId w:val="3"/>
        </w:numPr>
        <w:ind w:right="3870"/>
      </w:pPr>
      <w:r>
        <w:rPr>
          <w:noProof/>
        </w:rPr>
        <mc:AlternateContent>
          <mc:Choice Requires="wps">
            <w:drawing>
              <wp:anchor distT="0" distB="0" distL="114300" distR="114300" simplePos="0" relativeHeight="251667456" behindDoc="0" locked="0" layoutInCell="1" allowOverlap="1" wp14:anchorId="013C507F" wp14:editId="6AC36278">
                <wp:simplePos x="0" y="0"/>
                <wp:positionH relativeFrom="column">
                  <wp:posOffset>5009927</wp:posOffset>
                </wp:positionH>
                <wp:positionV relativeFrom="paragraph">
                  <wp:posOffset>646430</wp:posOffset>
                </wp:positionV>
                <wp:extent cx="58142" cy="45719"/>
                <wp:effectExtent l="0" t="0" r="18415" b="12065"/>
                <wp:wrapNone/>
                <wp:docPr id="831573163" name="Oval 4"/>
                <wp:cNvGraphicFramePr/>
                <a:graphic xmlns:a="http://schemas.openxmlformats.org/drawingml/2006/main">
                  <a:graphicData uri="http://schemas.microsoft.com/office/word/2010/wordprocessingShape">
                    <wps:wsp>
                      <wps:cNvSpPr/>
                      <wps:spPr>
                        <a:xfrm>
                          <a:off x="0" y="0"/>
                          <a:ext cx="58142" cy="45719"/>
                        </a:xfrm>
                        <a:prstGeom prst="ellipse">
                          <a:avLst/>
                        </a:prstGeom>
                        <a:solidFill>
                          <a:srgbClr val="00B0F0"/>
                        </a:solidFill>
                        <a:ln>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8E5595" id="Oval 4" o:spid="_x0000_s1026" style="position:absolute;margin-left:394.5pt;margin-top:50.9pt;width:4.6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" fillcolor="#00b0f0" strokecolor="#00b0f0" strokeweight="1pt">
                <v:stroke joinstyle="miter"/>
              </v:oval>
            </w:pict>
          </mc:Fallback>
        </mc:AlternateContent>
      </w:r>
      <w:r>
        <w:rPr>
          <w:noProof/>
        </w:rPr>
        <mc:AlternateContent>
          <mc:Choice Requires="wps">
            <w:drawing>
              <wp:anchor distT="0" distB="0" distL="114300" distR="114300" simplePos="0" relativeHeight="251671552" behindDoc="0" locked="0" layoutInCell="1" allowOverlap="1" wp14:anchorId="1871D673" wp14:editId="3A4EDFE2">
                <wp:simplePos x="0" y="0"/>
                <wp:positionH relativeFrom="column">
                  <wp:posOffset>5008657</wp:posOffset>
                </wp:positionH>
                <wp:positionV relativeFrom="paragraph">
                  <wp:posOffset>302260</wp:posOffset>
                </wp:positionV>
                <wp:extent cx="58142" cy="45719"/>
                <wp:effectExtent l="0" t="0" r="18415" b="12065"/>
                <wp:wrapNone/>
                <wp:docPr id="260532838" name="Oval 4"/>
                <wp:cNvGraphicFramePr/>
                <a:graphic xmlns:a="http://schemas.openxmlformats.org/drawingml/2006/main">
                  <a:graphicData uri="http://schemas.microsoft.com/office/word/2010/wordprocessingShape">
                    <wps:wsp>
                      <wps:cNvSpPr/>
                      <wps:spPr>
                        <a:xfrm>
                          <a:off x="0" y="0"/>
                          <a:ext cx="58142" cy="45719"/>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CFBBE2" id="Oval 4" o:spid="_x0000_s1026" style="position:absolute;margin-left:394.4pt;margin-top:23.8pt;width:4.6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" fillcolor="yellow" strokecolor="yellow" strokeweight="1pt">
                <v:stroke joinstyle="miter"/>
              </v:oval>
            </w:pict>
          </mc:Fallback>
        </mc:AlternateContent>
      </w:r>
      <w:r>
        <w:rPr>
          <w:noProof/>
        </w:rPr>
        <mc:AlternateContent>
          <mc:Choice Requires="wps">
            <w:drawing>
              <wp:anchor distT="0" distB="0" distL="114300" distR="114300" simplePos="0" relativeHeight="251669504" behindDoc="0" locked="0" layoutInCell="1" allowOverlap="1" wp14:anchorId="08D5961B" wp14:editId="64A5738D">
                <wp:simplePos x="0" y="0"/>
                <wp:positionH relativeFrom="column">
                  <wp:posOffset>5009497</wp:posOffset>
                </wp:positionH>
                <wp:positionV relativeFrom="paragraph">
                  <wp:posOffset>465902</wp:posOffset>
                </wp:positionV>
                <wp:extent cx="58142" cy="45719"/>
                <wp:effectExtent l="0" t="0" r="18415" b="12065"/>
                <wp:wrapNone/>
                <wp:docPr id="2003603142" name="Oval 4"/>
                <wp:cNvGraphicFramePr/>
                <a:graphic xmlns:a="http://schemas.openxmlformats.org/drawingml/2006/main">
                  <a:graphicData uri="http://schemas.microsoft.com/office/word/2010/wordprocessingShape">
                    <wps:wsp>
                      <wps:cNvSpPr/>
                      <wps:spPr>
                        <a:xfrm>
                          <a:off x="0" y="0"/>
                          <a:ext cx="58142" cy="45719"/>
                        </a:xfrm>
                        <a:prstGeom prst="ellipse">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DF3C6E" id="Oval 4" o:spid="_x0000_s1026" style="position:absolute;margin-left:394.45pt;margin-top:36.7pt;width:4.6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" fillcolor="red" strokecolor="red" strokeweight="1pt">
                <v:stroke joinstyle="miter"/>
              </v:oval>
            </w:pict>
          </mc:Fallback>
        </mc:AlternateContent>
      </w:r>
      <w:r w:rsidR="00D31077">
        <w:rPr>
          <w:noProof/>
        </w:rPr>
        <mc:AlternateContent>
          <mc:Choice Requires="wps">
            <w:drawing>
              <wp:anchor distT="45720" distB="45720" distL="114300" distR="114300" simplePos="0" relativeHeight="251666432" behindDoc="0" locked="0" layoutInCell="1" allowOverlap="1" wp14:anchorId="377FE1C5" wp14:editId="2D03182E">
                <wp:simplePos x="0" y="0"/>
                <wp:positionH relativeFrom="column">
                  <wp:posOffset>4899660</wp:posOffset>
                </wp:positionH>
                <wp:positionV relativeFrom="paragraph">
                  <wp:posOffset>181610</wp:posOffset>
                </wp:positionV>
                <wp:extent cx="882015" cy="1404620"/>
                <wp:effectExtent l="0" t="0" r="13335" b="16510"/>
                <wp:wrapSquare wrapText="bothSides"/>
                <wp:docPr id="20896387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1404620"/>
                        </a:xfrm>
                        <a:prstGeom prst="rect">
                          <a:avLst/>
                        </a:prstGeom>
                        <a:solidFill>
                          <a:srgbClr val="FFFFFF"/>
                        </a:solidFill>
                        <a:ln w="9525">
                          <a:solidFill>
                            <a:srgbClr val="000000"/>
                          </a:solidFill>
                          <a:miter lim="800000"/>
                          <a:headEnd/>
                          <a:tailEnd/>
                        </a:ln>
                      </wps:spPr>
                      <wps:txbx>
                        <w:txbxContent>
                          <w:p w14:paraId="01226100" w14:textId="458726AF" w:rsidR="00D31077" w:rsidRDefault="008C6F28" w:rsidP="00D31077">
                            <w:r>
                              <w:t xml:space="preserve">     </w:t>
                            </w:r>
                            <w:r w:rsidR="00D31077">
                              <w:t>June</w:t>
                            </w:r>
                          </w:p>
                          <w:p w14:paraId="69EE5AF0" w14:textId="79D575CF" w:rsidR="00D31077" w:rsidRDefault="008C6F28" w:rsidP="00D31077">
                            <w:r>
                              <w:t xml:space="preserve">     </w:t>
                            </w:r>
                            <w:r w:rsidR="00D31077">
                              <w:t>July</w:t>
                            </w:r>
                          </w:p>
                          <w:p w14:paraId="188D9601" w14:textId="7274D7E5" w:rsidR="00D31077" w:rsidRDefault="008C6F28" w:rsidP="00D31077">
                            <w:r>
                              <w:t xml:space="preserve">     </w:t>
                            </w:r>
                            <w:r w:rsidR="00D31077">
                              <w:t>August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7FE1C5" id="_x0000_s1030" type="#_x0000_t202" style="position:absolute;left:0;text-align:left;margin-left:385.8pt;margin-top:14.3pt;width:69.4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">
                <v:textbox style="mso-fit-shape-to-text:t">
                  <w:txbxContent>
                    <w:p w14:paraId="01226100" w14:textId="458726AF" w:rsidR="00D31077" w:rsidRDefault="008C6F28" w:rsidP="00D31077">
                      <w:r>
                        <w:t xml:space="preserve">     </w:t>
                      </w:r>
                      <w:r w:rsidR="00D31077">
                        <w:t>June</w:t>
                      </w:r>
                    </w:p>
                    <w:p w14:paraId="69EE5AF0" w14:textId="79D575CF" w:rsidR="00D31077" w:rsidRDefault="008C6F28" w:rsidP="00D31077">
                      <w:r>
                        <w:t xml:space="preserve">     </w:t>
                      </w:r>
                      <w:r w:rsidR="00D31077">
                        <w:t>July</w:t>
                      </w:r>
                    </w:p>
                    <w:p w14:paraId="188D9601" w14:textId="7274D7E5" w:rsidR="00D31077" w:rsidRDefault="008C6F28" w:rsidP="00D31077">
                      <w:r>
                        <w:t xml:space="preserve">     </w:t>
                      </w:r>
                      <w:r w:rsidR="00D31077">
                        <w:t>August</w:t>
                      </w:r>
                    </w:p>
                  </w:txbxContent>
                </v:textbox>
                <w10:wrap type="square"/>
              </v:shape>
            </w:pict>
          </mc:Fallback>
        </mc:AlternateContent>
      </w:r>
      <w:r w:rsidR="00122BA1">
        <w:t xml:space="preserve">Expansion continues initially along the </w:t>
      </w:r>
      <w:proofErr w:type="spellStart"/>
      <w:r w:rsidR="00122BA1">
        <w:t>bankline</w:t>
      </w:r>
      <w:proofErr w:type="spellEnd"/>
      <w:r w:rsidR="00122BA1">
        <w:t xml:space="preserve">, but periods of low flow and exposed sand following flow releases provide an opportunity for </w:t>
      </w:r>
      <w:r w:rsidR="00122BA1" w:rsidRPr="00302067">
        <w:rPr>
          <w:i/>
          <w:iCs/>
        </w:rPr>
        <w:t>Phragmites</w:t>
      </w:r>
      <w:r w:rsidR="00122BA1">
        <w:t xml:space="preserve"> to expand across the channel once again</w:t>
      </w:r>
      <w:r w:rsidR="00B8039E">
        <w:t xml:space="preserve"> (</w:t>
      </w:r>
      <w:r w:rsidR="00B8039E">
        <w:rPr>
          <w:b/>
          <w:bCs/>
        </w:rPr>
        <w:t>F</w:t>
      </w:r>
      <w:r w:rsidR="00B8039E" w:rsidRPr="00B8039E">
        <w:rPr>
          <w:b/>
          <w:bCs/>
        </w:rPr>
        <w:t>igure 6</w:t>
      </w:r>
      <w:r w:rsidR="00B8039E">
        <w:t>)</w:t>
      </w:r>
      <w:r w:rsidR="00122BA1">
        <w:t>.</w:t>
      </w:r>
    </w:p>
    <w:p w14:paraId="72A9DBBF" w14:textId="50F57F76" w:rsidR="00122BA1" w:rsidRDefault="001A6C38" w:rsidP="00D31077">
      <w:pPr>
        <w:pStyle w:val="ListParagraph"/>
        <w:numPr>
          <w:ilvl w:val="0"/>
          <w:numId w:val="3"/>
        </w:numPr>
        <w:ind w:right="3870"/>
      </w:pPr>
      <w:r>
        <w:rPr>
          <w:noProof/>
        </w:rPr>
        <w:drawing>
          <wp:anchor distT="0" distB="0" distL="114300" distR="114300" simplePos="0" relativeHeight="251672576" behindDoc="0" locked="0" layoutInCell="1" allowOverlap="1" wp14:anchorId="62F3CE7F" wp14:editId="7EEFBE02">
            <wp:simplePos x="0" y="0"/>
            <wp:positionH relativeFrom="margin">
              <wp:posOffset>3498850</wp:posOffset>
            </wp:positionH>
            <wp:positionV relativeFrom="paragraph">
              <wp:posOffset>1087120</wp:posOffset>
            </wp:positionV>
            <wp:extent cx="2378710" cy="1607820"/>
            <wp:effectExtent l="0" t="0" r="2540" b="0"/>
            <wp:wrapSquare wrapText="bothSides"/>
            <wp:docPr id="1364915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78710" cy="1607820"/>
                    </a:xfrm>
                    <a:prstGeom prst="rect">
                      <a:avLst/>
                    </a:prstGeom>
                    <a:noFill/>
                  </pic:spPr>
                </pic:pic>
              </a:graphicData>
            </a:graphic>
            <wp14:sizeRelH relativeFrom="margin">
              <wp14:pctWidth>0</wp14:pctWidth>
            </wp14:sizeRelH>
            <wp14:sizeRelV relativeFrom="margin">
              <wp14:pctHeight>0</wp14:pctHeight>
            </wp14:sizeRelV>
          </wp:anchor>
        </w:drawing>
      </w:r>
      <w:r w:rsidR="00D31077" w:rsidRPr="00D31077">
        <w:rPr>
          <w:i/>
          <w:iCs/>
          <w:noProof/>
        </w:rPr>
        <mc:AlternateContent>
          <mc:Choice Requires="wps">
            <w:drawing>
              <wp:anchor distT="45720" distB="45720" distL="114300" distR="114300" simplePos="0" relativeHeight="251663360" behindDoc="0" locked="0" layoutInCell="1" allowOverlap="1" wp14:anchorId="5DA051A0" wp14:editId="6CE51FD5">
                <wp:simplePos x="0" y="0"/>
                <wp:positionH relativeFrom="column">
                  <wp:posOffset>3496310</wp:posOffset>
                </wp:positionH>
                <wp:positionV relativeFrom="paragraph">
                  <wp:posOffset>415925</wp:posOffset>
                </wp:positionV>
                <wp:extent cx="2360930" cy="1404620"/>
                <wp:effectExtent l="0" t="0" r="22860" b="11430"/>
                <wp:wrapSquare wrapText="bothSides"/>
                <wp:docPr id="10520656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D0759A2" w14:textId="5EF297AC" w:rsidR="00D31077" w:rsidRDefault="00B8039E" w:rsidP="00B8039E">
                            <w:r w:rsidRPr="00B8039E">
                              <w:rPr>
                                <w:b/>
                                <w:bCs/>
                              </w:rPr>
                              <w:t>Figure 6.</w:t>
                            </w:r>
                            <w:r>
                              <w:rPr>
                                <w:i/>
                                <w:iCs/>
                              </w:rPr>
                              <w:t xml:space="preserve"> </w:t>
                            </w:r>
                            <w:r w:rsidR="00D31077" w:rsidRPr="00D31077">
                              <w:rPr>
                                <w:i/>
                                <w:iCs/>
                              </w:rPr>
                              <w:t>Phragmites</w:t>
                            </w:r>
                            <w:r w:rsidR="00D31077">
                              <w:t xml:space="preserve"> patch expansion along </w:t>
                            </w:r>
                            <w:r w:rsidR="00D31077">
                              <w:t>bankline from June to August.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DA051A0" id="_x0000_s1031" type="#_x0000_t202" style="position:absolute;left:0;text-align:left;margin-left:275.3pt;margin-top:32.75pt;width:185.9pt;height:110.6pt;z-index:25166336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">
                <v:textbox style="mso-fit-shape-to-text:t">
                  <w:txbxContent>
                    <w:p w14:paraId="5D0759A2" w14:textId="5EF297AC" w:rsidR="00D31077" w:rsidRDefault="00B8039E" w:rsidP="00B8039E">
                      <w:r w:rsidRPr="00B8039E">
                        <w:rPr>
                          <w:b/>
                          <w:bCs/>
                        </w:rPr>
                        <w:t>Figure 6.</w:t>
                      </w:r>
                      <w:r>
                        <w:rPr>
                          <w:i/>
                          <w:iCs/>
                        </w:rPr>
                        <w:t xml:space="preserve"> </w:t>
                      </w:r>
                      <w:r w:rsidR="00D31077" w:rsidRPr="00D31077">
                        <w:rPr>
                          <w:i/>
                          <w:iCs/>
                        </w:rPr>
                        <w:t>Phragmites</w:t>
                      </w:r>
                      <w:r w:rsidR="00D31077">
                        <w:t xml:space="preserve"> patch expansion along </w:t>
                      </w:r>
                      <w:r w:rsidR="00D31077">
                        <w:t>bankline from June to August.</w:t>
                      </w:r>
                    </w:p>
                  </w:txbxContent>
                </v:textbox>
                <w10:wrap type="square"/>
              </v:shape>
            </w:pict>
          </mc:Fallback>
        </mc:AlternateContent>
      </w:r>
      <w:r>
        <w:rPr>
          <w:noProof/>
        </w:rPr>
        <w:t>R</w:t>
      </w:r>
      <w:proofErr w:type="spellStart"/>
      <w:r w:rsidR="00032AFE">
        <w:t>epeated</w:t>
      </w:r>
      <w:proofErr w:type="spellEnd"/>
      <w:r w:rsidR="00606E39">
        <w:t xml:space="preserve"> </w:t>
      </w:r>
      <w:r w:rsidR="00F0615A">
        <w:t xml:space="preserve">years of </w:t>
      </w:r>
      <w:r w:rsidR="00606E39">
        <w:t xml:space="preserve">implementation </w:t>
      </w:r>
      <w:r>
        <w:t>may</w:t>
      </w:r>
      <w:r w:rsidR="00606E39">
        <w:t xml:space="preserve"> slow</w:t>
      </w:r>
      <w:r>
        <w:t xml:space="preserve"> </w:t>
      </w:r>
      <w:r w:rsidR="00606E39">
        <w:t xml:space="preserve">growth across the channel </w:t>
      </w:r>
      <w:r w:rsidR="00845D7B">
        <w:t>to help maintain</w:t>
      </w:r>
      <w:r w:rsidR="00606E39">
        <w:t xml:space="preserve"> unvegetated channel width.</w:t>
      </w:r>
    </w:p>
    <w:p w14:paraId="6342AB29" w14:textId="4F198900" w:rsidR="00BF122B" w:rsidRDefault="00BF122B" w:rsidP="00D31077">
      <w:pPr>
        <w:pStyle w:val="ListParagraph"/>
        <w:numPr>
          <w:ilvl w:val="0"/>
          <w:numId w:val="3"/>
        </w:numPr>
        <w:ind w:right="3870"/>
      </w:pPr>
      <w:r>
        <w:t xml:space="preserve">The effect of herbicide application has been difficult to measure as </w:t>
      </w:r>
      <w:r w:rsidR="00AB60B8">
        <w:t xml:space="preserve">applications have been inconsistent with </w:t>
      </w:r>
      <w:r>
        <w:t>study design.</w:t>
      </w:r>
    </w:p>
    <w:p w14:paraId="618EE57D" w14:textId="5B9C8B5C" w:rsidR="00606E39" w:rsidRDefault="00606E39" w:rsidP="00606E39">
      <w:pPr>
        <w:pStyle w:val="ListParagraph"/>
        <w:ind w:left="360"/>
      </w:pPr>
    </w:p>
    <w:p w14:paraId="124579C6" w14:textId="239255F9" w:rsidR="006C361E" w:rsidRDefault="006C361E" w:rsidP="00615E4C">
      <w:pPr>
        <w:pStyle w:val="Heading2"/>
      </w:pPr>
      <w:bookmarkStart w:id="96" w:name="_Toc155880577"/>
      <w:bookmarkStart w:id="97" w:name="_Toc157060230"/>
      <w:r>
        <w:t>We estimate with confidence that:</w:t>
      </w:r>
      <w:bookmarkEnd w:id="96"/>
      <w:bookmarkEnd w:id="97"/>
    </w:p>
    <w:p w14:paraId="511E6239" w14:textId="664E891D" w:rsidR="00863443" w:rsidRDefault="00863443" w:rsidP="00863443">
      <w:pPr>
        <w:pStyle w:val="ListParagraph"/>
        <w:numPr>
          <w:ilvl w:val="0"/>
          <w:numId w:val="3"/>
        </w:numPr>
      </w:pPr>
      <w:r>
        <w:t>Better addressed upon completion of first round multi-year assessment.</w:t>
      </w:r>
    </w:p>
    <w:p w14:paraId="113DF6A3" w14:textId="5ED1CAD7" w:rsidR="00484073" w:rsidRDefault="00484073" w:rsidP="006C361E"/>
    <w:p w14:paraId="2EFD1A20" w14:textId="4578C1E8" w:rsidR="006C361E" w:rsidRDefault="006C361E" w:rsidP="00615E4C">
      <w:pPr>
        <w:pStyle w:val="Heading2"/>
      </w:pPr>
      <w:bookmarkStart w:id="98" w:name="_Toc155880578"/>
      <w:bookmarkStart w:id="99" w:name="_Toc157060231"/>
      <w:r>
        <w:t>Answering EBQ #</w:t>
      </w:r>
      <w:r w:rsidR="0005577C">
        <w:t>2</w:t>
      </w:r>
      <w:r>
        <w:t xml:space="preserve"> during the Extension:</w:t>
      </w:r>
      <w:bookmarkEnd w:id="98"/>
      <w:bookmarkEnd w:id="99"/>
    </w:p>
    <w:p w14:paraId="53AA4AA7" w14:textId="525CC871" w:rsidR="00D26A7B" w:rsidRDefault="00D26A7B" w:rsidP="00D26A7B">
      <w:pPr>
        <w:pStyle w:val="ListParagraph"/>
        <w:numPr>
          <w:ilvl w:val="0"/>
          <w:numId w:val="3"/>
        </w:numPr>
      </w:pPr>
      <w:r>
        <w:t xml:space="preserve">First multi-year evaluation of effectiveness is scheduled for </w:t>
      </w:r>
      <w:r w:rsidR="00580AC2">
        <w:t>2025</w:t>
      </w:r>
      <w:r>
        <w:t>.</w:t>
      </w:r>
    </w:p>
    <w:p w14:paraId="46FECF18" w14:textId="5D4653E8" w:rsidR="00D26A7B" w:rsidRDefault="00D26A7B" w:rsidP="00D26A7B">
      <w:pPr>
        <w:pStyle w:val="ListParagraph"/>
        <w:numPr>
          <w:ilvl w:val="0"/>
          <w:numId w:val="3"/>
        </w:numPr>
      </w:pPr>
      <w:r>
        <w:t xml:space="preserve">At that </w:t>
      </w:r>
      <w:r w:rsidR="00244B8F">
        <w:t>point,</w:t>
      </w:r>
      <w:r>
        <w:t xml:space="preserve"> a decision will be made to continue </w:t>
      </w:r>
      <w:r w:rsidR="00863443">
        <w:t>June channel inundation</w:t>
      </w:r>
      <w:r>
        <w:t xml:space="preserve"> as currently being implemented and as water allows or design a new flow management experiment.</w:t>
      </w:r>
    </w:p>
    <w:p w14:paraId="392F08EA" w14:textId="3674D1E5" w:rsidR="0064027A" w:rsidRPr="0064027A" w:rsidRDefault="0064027A" w:rsidP="0064027A">
      <w:pPr>
        <w:pStyle w:val="ListParagraph"/>
        <w:numPr>
          <w:ilvl w:val="0"/>
          <w:numId w:val="3"/>
        </w:numPr>
        <w:rPr>
          <w:rFonts w:asciiTheme="minorHAnsi" w:hAnsiTheme="minorHAnsi" w:cstheme="minorHAnsi"/>
        </w:rPr>
      </w:pPr>
      <w:r w:rsidRPr="0064027A">
        <w:rPr>
          <w:rFonts w:asciiTheme="minorHAnsi" w:hAnsiTheme="minorHAnsi" w:cstheme="minorHAnsi"/>
        </w:rPr>
        <w:t xml:space="preserve">A desktop exercise using past data collected by the Program to evaluate the effects of high and low flows with and without herbicide application is also expected to provide information on the effectiveness of herbicide application and potential incremental benefits water may provide to effectively control </w:t>
      </w:r>
      <w:r w:rsidRPr="0064027A">
        <w:rPr>
          <w:rFonts w:asciiTheme="minorHAnsi" w:hAnsiTheme="minorHAnsi" w:cstheme="minorHAnsi"/>
          <w:i/>
          <w:iCs/>
        </w:rPr>
        <w:t>Phragmites</w:t>
      </w:r>
      <w:r w:rsidRPr="0064027A">
        <w:rPr>
          <w:rFonts w:asciiTheme="minorHAnsi" w:hAnsiTheme="minorHAnsi" w:cstheme="minorHAnsi"/>
        </w:rPr>
        <w:t xml:space="preserve"> expansion and maintain channel width.</w:t>
      </w:r>
    </w:p>
    <w:p w14:paraId="2AA81BB2" w14:textId="0ABB5184" w:rsidR="00863443" w:rsidRDefault="00863443" w:rsidP="00863443">
      <w:pPr>
        <w:pStyle w:val="ListParagraph"/>
        <w:numPr>
          <w:ilvl w:val="0"/>
          <w:numId w:val="3"/>
        </w:numPr>
      </w:pPr>
      <w:r>
        <w:t>A second multi-year assessment is scheduled for 2028.</w:t>
      </w:r>
    </w:p>
    <w:p w14:paraId="502DC183" w14:textId="5946A1F2" w:rsidR="00484073" w:rsidRDefault="00484073" w:rsidP="006C361E"/>
    <w:p w14:paraId="339B1CCE" w14:textId="77777777" w:rsidR="006C361E" w:rsidRDefault="006C361E" w:rsidP="00615E4C">
      <w:pPr>
        <w:pStyle w:val="Heading2"/>
      </w:pPr>
      <w:bookmarkStart w:id="100" w:name="_Toc155880579"/>
      <w:bookmarkStart w:id="101" w:name="_Toc157060232"/>
      <w:r>
        <w:t>Management implications:</w:t>
      </w:r>
      <w:bookmarkEnd w:id="100"/>
      <w:bookmarkEnd w:id="101"/>
    </w:p>
    <w:p w14:paraId="12577B17" w14:textId="75031C11" w:rsidR="00113AA5" w:rsidRDefault="00113AA5" w:rsidP="00F53305">
      <w:pPr>
        <w:pStyle w:val="ListParagraph"/>
        <w:numPr>
          <w:ilvl w:val="0"/>
          <w:numId w:val="3"/>
        </w:numPr>
      </w:pPr>
      <w:r>
        <w:t xml:space="preserve">June germination suppression flow releases may reduce </w:t>
      </w:r>
      <w:r w:rsidRPr="00863443">
        <w:rPr>
          <w:i/>
          <w:iCs/>
        </w:rPr>
        <w:t>Phragmites</w:t>
      </w:r>
      <w:r>
        <w:t xml:space="preserve"> expansion across the active channel when peak flows are absent.</w:t>
      </w:r>
    </w:p>
    <w:p w14:paraId="301C453E" w14:textId="3B9D70CF" w:rsidR="00113AA5" w:rsidRDefault="00863443" w:rsidP="00F53305">
      <w:pPr>
        <w:pStyle w:val="ListParagraph"/>
        <w:numPr>
          <w:ilvl w:val="0"/>
          <w:numId w:val="3"/>
        </w:numPr>
      </w:pPr>
      <w:r>
        <w:t>The channel inundation flow</w:t>
      </w:r>
      <w:r w:rsidR="00113AA5">
        <w:t xml:space="preserve"> experiment can identify areas (proportion of active channel) where water will be more effective and where herbicide application can be reduced. </w:t>
      </w:r>
    </w:p>
    <w:p w14:paraId="16D68FCB" w14:textId="09769482" w:rsidR="00113AA5" w:rsidRDefault="00113AA5" w:rsidP="00113AA5">
      <w:pPr>
        <w:pStyle w:val="ListParagraph"/>
        <w:numPr>
          <w:ilvl w:val="0"/>
          <w:numId w:val="3"/>
        </w:numPr>
      </w:pPr>
      <w:r>
        <w:t>Efforts to target herbicide application at a site scale have been unsuccessful.</w:t>
      </w:r>
    </w:p>
    <w:bookmarkEnd w:id="90"/>
    <w:p w14:paraId="176B7BA4" w14:textId="77777777" w:rsidR="00D768AE" w:rsidRDefault="00D768AE" w:rsidP="00562562">
      <w:pPr>
        <w:sectPr w:rsidR="00D768AE" w:rsidSect="005B280F">
          <w:pgSz w:w="12240" w:h="15840"/>
          <w:pgMar w:top="1440" w:right="1440" w:bottom="1440" w:left="1440" w:header="720" w:footer="720" w:gutter="0"/>
          <w:lnNumType w:countBy="1" w:restart="newSection"/>
          <w:cols w:space="720"/>
          <w:docGrid w:linePitch="360"/>
        </w:sectPr>
      </w:pPr>
    </w:p>
    <w:p w14:paraId="4BC7C68E" w14:textId="576B3FD3" w:rsidR="00D07D3B" w:rsidRDefault="00D07D3B" w:rsidP="00D07D3B">
      <w:pPr>
        <w:pStyle w:val="NoSpacing"/>
      </w:pPr>
      <w:r>
        <w:rPr>
          <w:noProof/>
        </w:rPr>
        <mc:AlternateContent>
          <mc:Choice Requires="wps">
            <w:drawing>
              <wp:inline distT="0" distB="0" distL="0" distR="0" wp14:anchorId="487C62E9" wp14:editId="66EB55A4">
                <wp:extent cx="5905500" cy="1404620"/>
                <wp:effectExtent l="0" t="0" r="19050" b="14605"/>
                <wp:docPr id="12931271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404620"/>
                        </a:xfrm>
                        <a:prstGeom prst="rect">
                          <a:avLst/>
                        </a:prstGeom>
                        <a:solidFill>
                          <a:srgbClr val="70AD47">
                            <a:lumMod val="60000"/>
                            <a:lumOff val="40000"/>
                          </a:srgbClr>
                        </a:solidFill>
                        <a:ln w="9525">
                          <a:solidFill>
                            <a:srgbClr val="000000"/>
                          </a:solidFill>
                          <a:miter lim="800000"/>
                          <a:headEnd/>
                          <a:tailEnd/>
                        </a:ln>
                      </wps:spPr>
                      <wps:txbx>
                        <w:txbxContent>
                          <w:p w14:paraId="71A6F42A" w14:textId="77777777" w:rsidR="00D07D3B" w:rsidRPr="00DE40BA" w:rsidRDefault="00D07D3B" w:rsidP="00D07D3B">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wps:txbx>
                      <wps:bodyPr rot="0" vert="horz" wrap="square" lIns="91440" tIns="45720" rIns="91440" bIns="45720" anchor="t" anchorCtr="0">
                        <a:spAutoFit/>
                      </wps:bodyPr>
                    </wps:wsp>
                  </a:graphicData>
                </a:graphic>
              </wp:inline>
            </w:drawing>
          </mc:Choice>
          <mc:Fallback>
            <w:pict>
              <v:shape w14:anchorId="487C62E9" id="_x0000_s1032" type="#_x0000_t202" style="width:4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" fillcolor="#a9d18e">
                <v:textbox style="mso-fit-shape-to-text:t">
                  <w:txbxContent>
                    <w:p w14:paraId="71A6F42A" w14:textId="77777777" w:rsidR="00D07D3B" w:rsidRPr="00DE40BA" w:rsidRDefault="00D07D3B" w:rsidP="00D07D3B">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v:textbox>
                <w10:anchorlock/>
              </v:shape>
            </w:pict>
          </mc:Fallback>
        </mc:AlternateContent>
      </w:r>
    </w:p>
    <w:p w14:paraId="6BBA4912" w14:textId="460D116F" w:rsidR="00D768AE" w:rsidRPr="00D07D3B" w:rsidRDefault="00D768AE" w:rsidP="00D07D3B">
      <w:pPr>
        <w:pStyle w:val="Heading1"/>
      </w:pPr>
      <w:bookmarkStart w:id="102" w:name="_Toc157060233"/>
      <w:r w:rsidRPr="00D07D3B">
        <w:t>EBQ #3</w:t>
      </w:r>
      <w:r w:rsidR="00D07D3B" w:rsidRPr="00D07D3B">
        <w:t xml:space="preserve"> – </w:t>
      </w:r>
      <w:r w:rsidR="00413248" w:rsidRPr="00D07D3B">
        <w:rPr>
          <w:i/>
          <w:iCs/>
        </w:rPr>
        <w:t>Is sediment augmentation necessary to create and/or maintain suitable whooping crane habitat?</w:t>
      </w:r>
      <w:bookmarkEnd w:id="102"/>
    </w:p>
    <w:p w14:paraId="3C38589D" w14:textId="77777777" w:rsidR="00432829" w:rsidRPr="00413248" w:rsidRDefault="00432829" w:rsidP="00562562"/>
    <w:p w14:paraId="01BBEA1C" w14:textId="39D51A11" w:rsidR="006C361E" w:rsidRDefault="006C361E" w:rsidP="00615E4C">
      <w:pPr>
        <w:pStyle w:val="Heading2"/>
      </w:pPr>
      <w:bookmarkStart w:id="103" w:name="_Toc155880581"/>
      <w:bookmarkStart w:id="104" w:name="_Toc157060234"/>
      <w:r>
        <w:t>2024 Assessment</w:t>
      </w:r>
      <w:r w:rsidR="0005577C">
        <w:t>:</w:t>
      </w:r>
      <w:bookmarkEnd w:id="103"/>
      <w:bookmarkEnd w:id="104"/>
    </w:p>
    <w:p w14:paraId="3FB8D1F4" w14:textId="5A99F18B" w:rsidR="005D1353" w:rsidRDefault="005D1353" w:rsidP="00D05539">
      <w:pPr>
        <w:pStyle w:val="ListParagraph"/>
        <w:numPr>
          <w:ilvl w:val="0"/>
          <w:numId w:val="3"/>
        </w:numPr>
      </w:pPr>
      <w:r>
        <w:t xml:space="preserve">This assessment is based off the draft sediment augmentation data synthesis report that is currently undergoing peer review. Results subject to change. </w:t>
      </w:r>
    </w:p>
    <w:p w14:paraId="2A94AF6E" w14:textId="0E933083" w:rsidR="00A25379" w:rsidRDefault="00A25379" w:rsidP="00D05539">
      <w:pPr>
        <w:pStyle w:val="ListParagraph"/>
        <w:numPr>
          <w:ilvl w:val="0"/>
          <w:numId w:val="3"/>
        </w:numPr>
      </w:pPr>
      <w:r w:rsidRPr="00A25379">
        <w:t>The south channel reach from the J2 Return to the Overton bridge is incising and narrowing due to the sediment imbalance from clear water hydropower returns.</w:t>
      </w:r>
      <w:r>
        <w:t xml:space="preserve"> The rate of incision is </w:t>
      </w:r>
      <w:r w:rsidR="0071448E">
        <w:t xml:space="preserve">episodic and </w:t>
      </w:r>
      <w:r>
        <w:t>much slower than predicted</w:t>
      </w:r>
      <w:r w:rsidR="0071448E">
        <w:t>. This</w:t>
      </w:r>
      <w:r>
        <w:t xml:space="preserve"> due to increased </w:t>
      </w:r>
      <w:r w:rsidR="0071448E">
        <w:t>rates of lateral erosion that are offsetting the deficit.</w:t>
      </w:r>
      <w:r>
        <w:t xml:space="preserve"> </w:t>
      </w:r>
    </w:p>
    <w:p w14:paraId="1B2CDB97" w14:textId="4E61C131" w:rsidR="00A25379" w:rsidRDefault="00A25379" w:rsidP="00D05539">
      <w:pPr>
        <w:pStyle w:val="ListParagraph"/>
        <w:numPr>
          <w:ilvl w:val="0"/>
          <w:numId w:val="3"/>
        </w:numPr>
      </w:pPr>
      <w:r>
        <w:t>Full-scale sediment augmentation (2017-2022) decreased bed erosion in the J2 Return channel by approximately 50% and had no effect on lateral erosion</w:t>
      </w:r>
      <w:r w:rsidR="00563B7A">
        <w:t xml:space="preserve"> (</w:t>
      </w:r>
      <w:r w:rsidR="00563B7A" w:rsidRPr="00064AFB">
        <w:rPr>
          <w:b/>
          <w:bCs/>
        </w:rPr>
        <w:t xml:space="preserve">Figure </w:t>
      </w:r>
      <w:r w:rsidR="00B8039E">
        <w:rPr>
          <w:b/>
          <w:bCs/>
        </w:rPr>
        <w:t>7</w:t>
      </w:r>
      <w:r w:rsidR="00563B7A">
        <w:t>)</w:t>
      </w:r>
      <w:r>
        <w:t>.</w:t>
      </w:r>
    </w:p>
    <w:p w14:paraId="7A15501A" w14:textId="66D436A4" w:rsidR="00F83199" w:rsidRDefault="00A25379" w:rsidP="00D05539">
      <w:pPr>
        <w:pStyle w:val="ListParagraph"/>
        <w:numPr>
          <w:ilvl w:val="0"/>
          <w:numId w:val="3"/>
        </w:numPr>
      </w:pPr>
      <w:r w:rsidRPr="00A25379">
        <w:t xml:space="preserve">Downstream from Overton, the </w:t>
      </w:r>
      <w:r w:rsidR="00F83199">
        <w:t xml:space="preserve">channel appears to be in dynamic equilibrium with no trend of incision immediately prior to (2009-2016) or during (2017-2022) the sediment augmentation experiment. </w:t>
      </w:r>
      <w:r w:rsidR="0071448E">
        <w:t>Although it did not incise, the</w:t>
      </w:r>
      <w:r w:rsidR="00F83199">
        <w:t xml:space="preserve"> </w:t>
      </w:r>
      <w:r w:rsidR="0071448E">
        <w:t>channel widened</w:t>
      </w:r>
      <w:r w:rsidR="00F83199">
        <w:t xml:space="preserve"> substantially prior to and</w:t>
      </w:r>
      <w:r w:rsidR="0071448E">
        <w:t xml:space="preserve">, </w:t>
      </w:r>
      <w:r w:rsidR="00F83199">
        <w:t>to a lesser extent</w:t>
      </w:r>
      <w:r w:rsidR="0071448E">
        <w:t>,</w:t>
      </w:r>
      <w:r w:rsidR="00F83199">
        <w:t xml:space="preserve"> during the augmentation experiment via lateral erosion of bars and banks. </w:t>
      </w:r>
    </w:p>
    <w:p w14:paraId="2110F523" w14:textId="6EB5AEC4" w:rsidR="006C361E" w:rsidRDefault="0071448E" w:rsidP="00D05539">
      <w:pPr>
        <w:pStyle w:val="ListParagraph"/>
        <w:numPr>
          <w:ilvl w:val="0"/>
          <w:numId w:val="3"/>
        </w:numPr>
      </w:pPr>
      <w:r>
        <w:t xml:space="preserve">Absent augmentation of sediment into the </w:t>
      </w:r>
      <w:r w:rsidR="00172680">
        <w:t>J2 Return Channel</w:t>
      </w:r>
      <w:r>
        <w:t xml:space="preserve">, incision and narrowing </w:t>
      </w:r>
      <w:r w:rsidR="00172680">
        <w:t>may progress downstream past the Overton bridge at some point in the future. The timing and magnitude of the impact to whooping crane habitat is highly uncertain.</w:t>
      </w:r>
    </w:p>
    <w:p w14:paraId="2DF41FB4" w14:textId="77777777" w:rsidR="00432829" w:rsidRDefault="00432829" w:rsidP="00432829">
      <w:pPr>
        <w:pStyle w:val="ListParagraph"/>
        <w:ind w:left="360"/>
      </w:pPr>
    </w:p>
    <w:p w14:paraId="75E3AEEF" w14:textId="34FB6529" w:rsidR="00432829" w:rsidRDefault="00432829" w:rsidP="001A26A5">
      <w:pPr>
        <w:pStyle w:val="ListParagraph"/>
        <w:ind w:left="360"/>
        <w:jc w:val="center"/>
      </w:pPr>
      <w:r>
        <w:rPr>
          <w:noProof/>
        </w:rPr>
        <w:drawing>
          <wp:inline distT="0" distB="0" distL="0" distR="0" wp14:anchorId="2B64A58B" wp14:editId="6EF0D5E3">
            <wp:extent cx="4533265" cy="3571875"/>
            <wp:effectExtent l="0" t="0" r="635" b="9525"/>
            <wp:docPr id="19429040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04054" name="Graphic 1942904054"/>
                    <pic:cNvPicPr/>
                  </pic:nvPicPr>
                  <pic:blipFill rotWithShape="1">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rcRect t="4965" b="1952"/>
                    <a:stretch/>
                  </pic:blipFill>
                  <pic:spPr bwMode="auto">
                    <a:xfrm>
                      <a:off x="0" y="0"/>
                      <a:ext cx="4541062" cy="3578018"/>
                    </a:xfrm>
                    <a:prstGeom prst="rect">
                      <a:avLst/>
                    </a:prstGeom>
                    <a:ln>
                      <a:noFill/>
                    </a:ln>
                    <a:extLst>
                      <a:ext uri="{53640926-AAD7-44D8-BBD7-CCE9431645EC}">
                        <a14:shadowObscured xmlns:a14="http://schemas.microsoft.com/office/drawing/2010/main"/>
                      </a:ext>
                    </a:extLst>
                  </pic:spPr>
                </pic:pic>
              </a:graphicData>
            </a:graphic>
          </wp:inline>
        </w:drawing>
      </w:r>
    </w:p>
    <w:p w14:paraId="7E9A0869" w14:textId="73A52F13" w:rsidR="00484073" w:rsidRPr="00D37A36" w:rsidRDefault="00474113" w:rsidP="00D37A36">
      <w:pPr>
        <w:pStyle w:val="ListParagraph"/>
        <w:ind w:left="0"/>
        <w:rPr>
          <w:sz w:val="18"/>
          <w:szCs w:val="18"/>
        </w:rPr>
      </w:pPr>
      <w:r w:rsidRPr="001A26A5">
        <w:rPr>
          <w:b/>
          <w:bCs/>
          <w:sz w:val="18"/>
          <w:szCs w:val="18"/>
        </w:rPr>
        <w:t xml:space="preserve">Figure </w:t>
      </w:r>
      <w:r w:rsidR="00B8039E">
        <w:rPr>
          <w:b/>
          <w:bCs/>
          <w:sz w:val="18"/>
          <w:szCs w:val="18"/>
        </w:rPr>
        <w:t>7</w:t>
      </w:r>
      <w:r w:rsidRPr="001A26A5">
        <w:rPr>
          <w:b/>
          <w:bCs/>
          <w:sz w:val="18"/>
          <w:szCs w:val="18"/>
        </w:rPr>
        <w:t>.</w:t>
      </w:r>
      <w:r w:rsidRPr="00D37A36">
        <w:rPr>
          <w:sz w:val="18"/>
          <w:szCs w:val="18"/>
        </w:rPr>
        <w:t xml:space="preserve"> </w:t>
      </w:r>
      <w:r w:rsidR="00AB4B7E" w:rsidRPr="00D37A36">
        <w:rPr>
          <w:sz w:val="18"/>
          <w:szCs w:val="18"/>
        </w:rPr>
        <w:t>Comparison of cumulative volume change</w:t>
      </w:r>
      <w:r w:rsidRPr="00D37A36">
        <w:rPr>
          <w:sz w:val="18"/>
          <w:szCs w:val="18"/>
        </w:rPr>
        <w:t xml:space="preserve"> through sediment augmentation experiment reach</w:t>
      </w:r>
      <w:r w:rsidR="00AB4B7E" w:rsidRPr="00D37A36">
        <w:rPr>
          <w:sz w:val="18"/>
          <w:szCs w:val="18"/>
        </w:rPr>
        <w:t xml:space="preserve"> prior to and during the sediment augmentation experiment.</w:t>
      </w:r>
    </w:p>
    <w:p w14:paraId="229905B4" w14:textId="77777777" w:rsidR="006C361E" w:rsidRDefault="006C361E" w:rsidP="00615E4C">
      <w:pPr>
        <w:pStyle w:val="Heading2"/>
      </w:pPr>
      <w:bookmarkStart w:id="105" w:name="_Toc155880582"/>
      <w:bookmarkStart w:id="106" w:name="_Toc157060235"/>
      <w:r>
        <w:t>What the science says in 2024:</w:t>
      </w:r>
      <w:bookmarkEnd w:id="105"/>
      <w:bookmarkEnd w:id="106"/>
    </w:p>
    <w:p w14:paraId="5DD3D1DD" w14:textId="54366212" w:rsidR="009C7FA6" w:rsidRDefault="00D1535C" w:rsidP="00D05539">
      <w:pPr>
        <w:pStyle w:val="ListParagraph"/>
        <w:numPr>
          <w:ilvl w:val="0"/>
          <w:numId w:val="3"/>
        </w:numPr>
      </w:pPr>
      <w:r>
        <w:t xml:space="preserve">Prior to the augmentation experiment (2009-2016), average annual bed </w:t>
      </w:r>
      <w:r w:rsidR="009C7FA6">
        <w:t>volume change</w:t>
      </w:r>
      <w:r>
        <w:t xml:space="preserve"> in the J2 Return Channel </w:t>
      </w:r>
      <w:r w:rsidR="00C252C8">
        <w:t xml:space="preserve">was between </w:t>
      </w:r>
      <w:r w:rsidR="009C7FA6">
        <w:t>-</w:t>
      </w:r>
      <w:r w:rsidR="00C252C8">
        <w:t xml:space="preserve">42,000 and </w:t>
      </w:r>
      <w:r w:rsidR="009C7FA6">
        <w:t>-</w:t>
      </w:r>
      <w:r w:rsidR="00C252C8">
        <w:t>60,000 yd</w:t>
      </w:r>
      <w:r w:rsidR="00C252C8" w:rsidRPr="00951365">
        <w:rPr>
          <w:vertAlign w:val="superscript"/>
        </w:rPr>
        <w:t>3</w:t>
      </w:r>
      <w:r w:rsidR="00C252C8">
        <w:t xml:space="preserve">. </w:t>
      </w:r>
      <w:r w:rsidR="00951365">
        <w:t xml:space="preserve">During the </w:t>
      </w:r>
      <w:r w:rsidR="005D5E8B">
        <w:t xml:space="preserve">experiment </w:t>
      </w:r>
      <w:r w:rsidR="00951365">
        <w:t>period of 2017 – 2022, an average volume of 43,000 yd</w:t>
      </w:r>
      <w:r w:rsidR="00951365" w:rsidRPr="00951365">
        <w:rPr>
          <w:vertAlign w:val="superscript"/>
        </w:rPr>
        <w:t>3</w:t>
      </w:r>
      <w:r w:rsidR="00951365">
        <w:t xml:space="preserve"> was augmented </w:t>
      </w:r>
      <w:r w:rsidR="009C7FA6">
        <w:t xml:space="preserve">annually </w:t>
      </w:r>
      <w:r w:rsidR="00951365">
        <w:t>below the J2 Return.</w:t>
      </w:r>
      <w:r w:rsidR="009C7FA6">
        <w:t xml:space="preserve"> Mean annual</w:t>
      </w:r>
      <w:r w:rsidR="00C252C8">
        <w:t xml:space="preserve"> bed erosion during this period was </w:t>
      </w:r>
      <w:r w:rsidR="009C7FA6">
        <w:t>-</w:t>
      </w:r>
      <w:r w:rsidR="00C252C8">
        <w:t>18,300 yd</w:t>
      </w:r>
      <w:r w:rsidR="00C252C8" w:rsidRPr="00C252C8">
        <w:rPr>
          <w:vertAlign w:val="superscript"/>
        </w:rPr>
        <w:t>3</w:t>
      </w:r>
      <w:r w:rsidR="009C7FA6">
        <w:t xml:space="preserve"> indicating augmentation potentially </w:t>
      </w:r>
      <w:r w:rsidR="007155A5">
        <w:t>reduced</w:t>
      </w:r>
      <w:r w:rsidR="009C7FA6">
        <w:t xml:space="preserve"> bed erosion </w:t>
      </w:r>
      <w:r w:rsidR="007155A5">
        <w:t>by 50%</w:t>
      </w:r>
      <w:r w:rsidR="009C7FA6">
        <w:t xml:space="preserve">. </w:t>
      </w:r>
      <w:r w:rsidR="007615EA">
        <w:t>Mean l</w:t>
      </w:r>
      <w:r w:rsidR="005D5E8B">
        <w:t xml:space="preserve">ateral erosion remained stable at -63,000 </w:t>
      </w:r>
      <w:r w:rsidR="007615EA">
        <w:t>yd</w:t>
      </w:r>
      <w:r w:rsidR="007615EA" w:rsidRPr="00C252C8">
        <w:rPr>
          <w:vertAlign w:val="superscript"/>
        </w:rPr>
        <w:t>3</w:t>
      </w:r>
      <w:r w:rsidR="007615EA">
        <w:rPr>
          <w:vertAlign w:val="superscript"/>
        </w:rPr>
        <w:t xml:space="preserve"> </w:t>
      </w:r>
      <w:r w:rsidR="007615EA">
        <w:t>prior to augmentation and -59,800 yd</w:t>
      </w:r>
      <w:r w:rsidR="007615EA" w:rsidRPr="00C252C8">
        <w:rPr>
          <w:vertAlign w:val="superscript"/>
        </w:rPr>
        <w:t>3</w:t>
      </w:r>
      <w:r w:rsidR="007615EA">
        <w:t xml:space="preserve"> during the augmentation experiment. </w:t>
      </w:r>
    </w:p>
    <w:p w14:paraId="32F1D531" w14:textId="77777777" w:rsidR="007E2EF0" w:rsidRDefault="007615EA" w:rsidP="006C361E">
      <w:pPr>
        <w:pStyle w:val="ListParagraph"/>
        <w:numPr>
          <w:ilvl w:val="0"/>
          <w:numId w:val="3"/>
        </w:numPr>
      </w:pPr>
      <w:r>
        <w:t>Annual bed volume change in the J2 Return Channel was highly variable during the augmentation experiment ranging from</w:t>
      </w:r>
      <w:r w:rsidR="007E2EF0">
        <w:t xml:space="preserve"> approximately</w:t>
      </w:r>
      <w:r>
        <w:t xml:space="preserve"> -77,000 </w:t>
      </w:r>
      <w:r w:rsidR="007E2EF0">
        <w:t>yd</w:t>
      </w:r>
      <w:r w:rsidR="007E2EF0" w:rsidRPr="007E2EF0">
        <w:rPr>
          <w:vertAlign w:val="superscript"/>
        </w:rPr>
        <w:t>3</w:t>
      </w:r>
      <w:r>
        <w:t xml:space="preserve"> to </w:t>
      </w:r>
      <w:r w:rsidR="007E2EF0">
        <w:t>+3</w:t>
      </w:r>
      <w:r>
        <w:t xml:space="preserve">,000 </w:t>
      </w:r>
      <w:r w:rsidR="007E2EF0">
        <w:t>yd</w:t>
      </w:r>
      <w:r w:rsidR="007E2EF0" w:rsidRPr="007E2EF0">
        <w:rPr>
          <w:vertAlign w:val="superscript"/>
        </w:rPr>
        <w:t>3</w:t>
      </w:r>
      <w:r>
        <w:t>, with variability related primarily to flow volume through the J2 Return Channel</w:t>
      </w:r>
      <w:r w:rsidR="007E2EF0">
        <w:t xml:space="preserve"> with increased bed erosion during high flow years. Channel incision likewise varied with flow volume with incision occurring during high flow years followed by recovery during low flow years. </w:t>
      </w:r>
    </w:p>
    <w:p w14:paraId="1F40947D" w14:textId="60361D1A" w:rsidR="005D1353" w:rsidRDefault="005D1353" w:rsidP="005D1353">
      <w:pPr>
        <w:pStyle w:val="ListParagraph"/>
        <w:numPr>
          <w:ilvl w:val="0"/>
          <w:numId w:val="3"/>
        </w:numPr>
      </w:pPr>
      <w:r>
        <w:t>During the augmentation experiment, an area of thalweg incision occurred mid-way between the J2 Return and Overton bridge (Station 70,000). Much of this incision occurred during 2019, when J2 Return Channel flows were elevated. Sediment deposited in this area in 2021-2022, filling in much of the thalweg erosion that occurred in 2016</w:t>
      </w:r>
      <w:r w:rsidR="007A2A95">
        <w:t xml:space="preserve">. </w:t>
      </w:r>
    </w:p>
    <w:p w14:paraId="28B2DC4A" w14:textId="77777777" w:rsidR="006E2D17" w:rsidRDefault="00274E2F" w:rsidP="006C361E">
      <w:pPr>
        <w:pStyle w:val="ListParagraph"/>
        <w:numPr>
          <w:ilvl w:val="0"/>
          <w:numId w:val="3"/>
        </w:numPr>
      </w:pPr>
      <w:r>
        <w:t xml:space="preserve">Downstream of Overton, </w:t>
      </w:r>
      <w:r w:rsidR="007155A5">
        <w:t>annual bed volume change was also highly variable but the average volume change during the augmentation experiment (-16,000</w:t>
      </w:r>
      <w:r w:rsidR="006E2D17">
        <w:t xml:space="preserve"> yd</w:t>
      </w:r>
      <w:r w:rsidR="006E2D17" w:rsidRPr="007E2EF0">
        <w:rPr>
          <w:vertAlign w:val="superscript"/>
        </w:rPr>
        <w:t>3</w:t>
      </w:r>
      <w:r w:rsidR="006E2D17">
        <w:t>) fell within the pre-augmentation range (-46,100 to 23,700 yd</w:t>
      </w:r>
      <w:r w:rsidR="006E2D17" w:rsidRPr="007E2EF0">
        <w:rPr>
          <w:vertAlign w:val="superscript"/>
        </w:rPr>
        <w:t>3</w:t>
      </w:r>
      <w:r w:rsidR="006E2D17">
        <w:t>). Mean annual lateral erosion volume (-57,000 yd</w:t>
      </w:r>
      <w:r w:rsidR="006E2D17" w:rsidRPr="007E2EF0">
        <w:rPr>
          <w:vertAlign w:val="superscript"/>
        </w:rPr>
        <w:t>3</w:t>
      </w:r>
      <w:r w:rsidR="006E2D17">
        <w:t>) was lower during augmentation than prior to augmentation (-200,000 to -131,000 yd</w:t>
      </w:r>
      <w:r w:rsidR="006E2D17" w:rsidRPr="007E2EF0">
        <w:rPr>
          <w:vertAlign w:val="superscript"/>
        </w:rPr>
        <w:t>3</w:t>
      </w:r>
      <w:r w:rsidR="006E2D17">
        <w:t xml:space="preserve">). This difference can be attributed to a large natural peak flow event in 2015 that substantially widened the channel. </w:t>
      </w:r>
    </w:p>
    <w:p w14:paraId="232E0063" w14:textId="69BD92BA" w:rsidR="00484073" w:rsidRDefault="006E2D17" w:rsidP="00487672">
      <w:r>
        <w:t xml:space="preserve">   </w:t>
      </w:r>
    </w:p>
    <w:p w14:paraId="3B684EA3" w14:textId="77777777" w:rsidR="006C361E" w:rsidRDefault="006C361E" w:rsidP="00615E4C">
      <w:pPr>
        <w:pStyle w:val="Heading2"/>
      </w:pPr>
      <w:bookmarkStart w:id="107" w:name="_Toc155880583"/>
      <w:bookmarkStart w:id="108" w:name="_Toc157060236"/>
      <w:r>
        <w:t>We estimate with confidence that:</w:t>
      </w:r>
      <w:bookmarkEnd w:id="107"/>
      <w:bookmarkEnd w:id="108"/>
    </w:p>
    <w:p w14:paraId="2B9DA213" w14:textId="07758AD4" w:rsidR="006C361E" w:rsidRDefault="00514AA1" w:rsidP="00D05539">
      <w:pPr>
        <w:pStyle w:val="ListParagraph"/>
        <w:numPr>
          <w:ilvl w:val="0"/>
          <w:numId w:val="3"/>
        </w:numPr>
      </w:pPr>
      <w:r>
        <w:t xml:space="preserve">On average, </w:t>
      </w:r>
      <w:r w:rsidR="00A37C70">
        <w:t>40,000 yd</w:t>
      </w:r>
      <w:r w:rsidR="00A37C70" w:rsidRPr="007E2EF0">
        <w:rPr>
          <w:vertAlign w:val="superscript"/>
        </w:rPr>
        <w:t>3</w:t>
      </w:r>
      <w:r w:rsidR="00A37C70">
        <w:t xml:space="preserve"> of sediment augmentation is sufficient to offset all bed erosion in dry years and approximately half of bed erosion (~20,000 yd</w:t>
      </w:r>
      <w:r w:rsidR="00A37C70" w:rsidRPr="007E2EF0">
        <w:rPr>
          <w:vertAlign w:val="superscript"/>
        </w:rPr>
        <w:t>3</w:t>
      </w:r>
      <w:r w:rsidR="00A37C70">
        <w:t xml:space="preserve">) on average although the majority of bed </w:t>
      </w:r>
      <w:r w:rsidR="00CE6E5C">
        <w:t xml:space="preserve">erosion </w:t>
      </w:r>
      <w:r w:rsidR="00A37C70">
        <w:t>is episodic, occurring in high flow years</w:t>
      </w:r>
      <w:r w:rsidR="00244B8F">
        <w:t xml:space="preserve">. </w:t>
      </w:r>
    </w:p>
    <w:p w14:paraId="27CCAB01" w14:textId="77777777" w:rsidR="00BC5DEE" w:rsidRDefault="00CE6E5C" w:rsidP="00D05539">
      <w:pPr>
        <w:pStyle w:val="ListParagraph"/>
        <w:numPr>
          <w:ilvl w:val="0"/>
          <w:numId w:val="3"/>
        </w:numPr>
      </w:pPr>
      <w:r>
        <w:t xml:space="preserve">Channel incision and narrowing, accompanied by planform change (braided to wandering) is occurring locally in the J2 Return Channel during high flow years, although some recovery has been observed during dry years when augmentation supply exceeds sediment transport capacity. </w:t>
      </w:r>
    </w:p>
    <w:p w14:paraId="1B530538" w14:textId="3FD41D12" w:rsidR="00BC5DEE" w:rsidRDefault="00BC5DEE" w:rsidP="00D05539">
      <w:pPr>
        <w:pStyle w:val="ListParagraph"/>
        <w:numPr>
          <w:ilvl w:val="0"/>
          <w:numId w:val="3"/>
        </w:numPr>
      </w:pPr>
      <w:r>
        <w:t xml:space="preserve">Overall, lateral erosion in the wandering section of the J2 Return Channel is supplying adequate sediment (with or without augmentation) to prevent incision (and associated planform change) from rapidly progressing downstream through the Overton Bridge. Sediment supply from the north channel confluence upstream of the bridge also provides a buffer against incision migrating downstream. </w:t>
      </w:r>
      <w:r w:rsidR="00DA331D">
        <w:t>Accordingly</w:t>
      </w:r>
      <w:r>
        <w:t xml:space="preserve">, there is no incising/narrowing trend downstream of the Overton bridge. </w:t>
      </w:r>
    </w:p>
    <w:p w14:paraId="14CF8C8B" w14:textId="0BD7E2B7" w:rsidR="00CE6E5C" w:rsidRDefault="00DA331D" w:rsidP="00D05539">
      <w:pPr>
        <w:pStyle w:val="ListParagraph"/>
        <w:numPr>
          <w:ilvl w:val="0"/>
          <w:numId w:val="3"/>
        </w:numPr>
      </w:pPr>
      <w:r>
        <w:t>Over the long term, the stability of the lower portion of the J2 Return Channel will be highly sensitive to the sediment volume recruited into the channel through lateral erosion. If lateral erosion is impeded or channel evolution results in less meander migration, we would expect the rate of progression of incision and narrowing to increase</w:t>
      </w:r>
      <w:r w:rsidR="00244B8F">
        <w:t xml:space="preserve">. </w:t>
      </w:r>
    </w:p>
    <w:p w14:paraId="2584C714" w14:textId="77777777" w:rsidR="00484073" w:rsidRDefault="00484073" w:rsidP="006C361E"/>
    <w:p w14:paraId="595F8B17" w14:textId="5CA989B9" w:rsidR="006C361E" w:rsidRDefault="006C361E" w:rsidP="00615E4C">
      <w:pPr>
        <w:pStyle w:val="Heading2"/>
      </w:pPr>
      <w:bookmarkStart w:id="109" w:name="_Toc155880584"/>
      <w:bookmarkStart w:id="110" w:name="_Toc157060237"/>
      <w:r>
        <w:t>Answering EBQ #</w:t>
      </w:r>
      <w:r w:rsidR="0005577C">
        <w:t>3</w:t>
      </w:r>
      <w:r>
        <w:t xml:space="preserve"> during the Extension:</w:t>
      </w:r>
      <w:bookmarkEnd w:id="109"/>
      <w:bookmarkEnd w:id="110"/>
    </w:p>
    <w:p w14:paraId="78AD0E66" w14:textId="7BED2BF2" w:rsidR="00484073" w:rsidRDefault="00017DD9" w:rsidP="006C361E">
      <w:pPr>
        <w:pStyle w:val="ListParagraph"/>
        <w:numPr>
          <w:ilvl w:val="0"/>
          <w:numId w:val="3"/>
        </w:numPr>
      </w:pPr>
      <w:r>
        <w:t>The first sediment augmentation experiment has been completed and is currently undergoing peer review. The results of the peer review process will be used to determine if another experiment is necessary to address outstanding uncertainties.</w:t>
      </w:r>
    </w:p>
    <w:p w14:paraId="4A773A75" w14:textId="77777777" w:rsidR="006C361E" w:rsidRDefault="006C361E" w:rsidP="00615E4C">
      <w:pPr>
        <w:pStyle w:val="Heading2"/>
      </w:pPr>
      <w:bookmarkStart w:id="111" w:name="_Toc155880585"/>
      <w:bookmarkStart w:id="112" w:name="_Toc157060238"/>
      <w:r>
        <w:t>Management implications:</w:t>
      </w:r>
      <w:bookmarkEnd w:id="111"/>
      <w:bookmarkEnd w:id="112"/>
    </w:p>
    <w:p w14:paraId="424E060B" w14:textId="77777777" w:rsidR="00D05539" w:rsidRDefault="00017DD9" w:rsidP="00D05539">
      <w:pPr>
        <w:pStyle w:val="ListParagraph"/>
        <w:numPr>
          <w:ilvl w:val="0"/>
          <w:numId w:val="3"/>
        </w:numPr>
      </w:pPr>
      <w:r>
        <w:t xml:space="preserve">In the near term, sediment augmentation is likely not necessary to prevent incision and narrowing to progressing downstream through the Overton bridge. This is especially true </w:t>
      </w:r>
      <w:r w:rsidR="00F4340E">
        <w:t xml:space="preserve">if the basin remains in drought in the near future. Over the long term, there is a higher risk of downstream impacts if 1) this reach experiences a series of high flow years either due to J2 Return flows or flood flows across Jeffery Island and/or 2) continued channel evolution decreases the volume of lateral erosion, which plays a critical role in sediment supply and downstream channel stability. </w:t>
      </w:r>
    </w:p>
    <w:p w14:paraId="0BB9BC6C" w14:textId="48DD394E" w:rsidR="00F4340E" w:rsidRDefault="006246A0" w:rsidP="00F4340E">
      <w:pPr>
        <w:pStyle w:val="ListParagraph"/>
        <w:numPr>
          <w:ilvl w:val="0"/>
          <w:numId w:val="3"/>
        </w:numPr>
      </w:pPr>
      <w:r>
        <w:t>PRRIP s</w:t>
      </w:r>
      <w:r w:rsidR="009A1EEF">
        <w:t xml:space="preserve">takeholders have </w:t>
      </w:r>
      <w:r w:rsidR="00C25B7D">
        <w:t>voiced a preference to transition to implementation of some degree of active or passive augmentation to buffer against potential future risks. The location, volume and method of augmentation have not been determined and are a focus area for 2024 study.</w:t>
      </w:r>
    </w:p>
    <w:p w14:paraId="107E8FD5" w14:textId="37D54EDE" w:rsidR="00F4340E" w:rsidRDefault="00F4340E" w:rsidP="00F4340E">
      <w:pPr>
        <w:sectPr w:rsidR="00F4340E" w:rsidSect="005B280F">
          <w:pgSz w:w="12240" w:h="15840"/>
          <w:pgMar w:top="1440" w:right="1440" w:bottom="1440" w:left="1440" w:header="720" w:footer="720" w:gutter="0"/>
          <w:lnNumType w:countBy="1" w:restart="newSection"/>
          <w:cols w:space="720"/>
          <w:docGrid w:linePitch="360"/>
        </w:sectPr>
      </w:pPr>
    </w:p>
    <w:p w14:paraId="78755A6C" w14:textId="07DE0172" w:rsidR="00D07D3B" w:rsidRDefault="00D07D3B" w:rsidP="00D07D3B">
      <w:pPr>
        <w:pStyle w:val="NoSpacing"/>
      </w:pPr>
      <w:r>
        <w:rPr>
          <w:noProof/>
        </w:rPr>
        <mc:AlternateContent>
          <mc:Choice Requires="wps">
            <w:drawing>
              <wp:inline distT="0" distB="0" distL="0" distR="0" wp14:anchorId="6AEA2344" wp14:editId="3357D207">
                <wp:extent cx="5905500" cy="1404620"/>
                <wp:effectExtent l="0" t="0" r="19050" b="14605"/>
                <wp:docPr id="20984878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404620"/>
                        </a:xfrm>
                        <a:prstGeom prst="rect">
                          <a:avLst/>
                        </a:prstGeom>
                        <a:solidFill>
                          <a:srgbClr val="70AD47">
                            <a:lumMod val="60000"/>
                            <a:lumOff val="40000"/>
                          </a:srgbClr>
                        </a:solidFill>
                        <a:ln w="9525">
                          <a:solidFill>
                            <a:srgbClr val="000000"/>
                          </a:solidFill>
                          <a:miter lim="800000"/>
                          <a:headEnd/>
                          <a:tailEnd/>
                        </a:ln>
                      </wps:spPr>
                      <wps:txbx>
                        <w:txbxContent>
                          <w:p w14:paraId="5A5213F5" w14:textId="77777777" w:rsidR="00D07D3B" w:rsidRPr="00DE40BA" w:rsidRDefault="00D07D3B" w:rsidP="00D07D3B">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wps:txbx>
                      <wps:bodyPr rot="0" vert="horz" wrap="square" lIns="91440" tIns="45720" rIns="91440" bIns="45720" anchor="t" anchorCtr="0">
                        <a:spAutoFit/>
                      </wps:bodyPr>
                    </wps:wsp>
                  </a:graphicData>
                </a:graphic>
              </wp:inline>
            </w:drawing>
          </mc:Choice>
          <mc:Fallback>
            <w:pict>
              <v:shape w14:anchorId="6AEA2344" id="_x0000_s1033" type="#_x0000_t202" style="width:4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" fillcolor="#a9d18e">
                <v:textbox style="mso-fit-shape-to-text:t">
                  <w:txbxContent>
                    <w:p w14:paraId="5A5213F5" w14:textId="77777777" w:rsidR="00D07D3B" w:rsidRPr="00DE40BA" w:rsidRDefault="00D07D3B" w:rsidP="00D07D3B">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v:textbox>
                <w10:anchorlock/>
              </v:shape>
            </w:pict>
          </mc:Fallback>
        </mc:AlternateContent>
      </w:r>
    </w:p>
    <w:p w14:paraId="67A9DEDF" w14:textId="0258251A" w:rsidR="00D768AE" w:rsidRPr="00D07D3B" w:rsidRDefault="00D768AE" w:rsidP="00D07D3B">
      <w:pPr>
        <w:pStyle w:val="Heading1"/>
      </w:pPr>
      <w:bookmarkStart w:id="113" w:name="_Toc157060239"/>
      <w:r w:rsidRPr="00D07D3B">
        <w:t>EBQ #4</w:t>
      </w:r>
      <w:r w:rsidR="00D07D3B" w:rsidRPr="00D07D3B">
        <w:t xml:space="preserve"> – </w:t>
      </w:r>
      <w:r w:rsidR="00B14AC7" w:rsidRPr="00D07D3B">
        <w:rPr>
          <w:i/>
          <w:iCs/>
        </w:rPr>
        <w:t>What factors influence WC decision to stop or fly over the AHR?</w:t>
      </w:r>
      <w:bookmarkEnd w:id="113"/>
    </w:p>
    <w:p w14:paraId="4B36A75B" w14:textId="77777777" w:rsidR="00B14AC7" w:rsidRPr="00B14AC7" w:rsidRDefault="00B14AC7" w:rsidP="00562562"/>
    <w:p w14:paraId="255FA890" w14:textId="693CB853" w:rsidR="006C361E" w:rsidRDefault="006C361E" w:rsidP="00615E4C">
      <w:pPr>
        <w:pStyle w:val="Heading2"/>
      </w:pPr>
      <w:bookmarkStart w:id="114" w:name="_Toc155880587"/>
      <w:bookmarkStart w:id="115" w:name="_Toc157060240"/>
      <w:r>
        <w:t>2024 Assessment</w:t>
      </w:r>
      <w:r w:rsidR="0005577C">
        <w:t>:</w:t>
      </w:r>
      <w:bookmarkEnd w:id="114"/>
      <w:bookmarkEnd w:id="115"/>
    </w:p>
    <w:p w14:paraId="1867FBCF" w14:textId="011D6249" w:rsidR="00F8018B" w:rsidRDefault="00615EA7" w:rsidP="00F3083A">
      <w:pPr>
        <w:pStyle w:val="ListParagraph"/>
        <w:numPr>
          <w:ilvl w:val="0"/>
          <w:numId w:val="3"/>
        </w:numPr>
      </w:pPr>
      <w:r>
        <w:t xml:space="preserve">Delay in acquiring the cellular telemetry dataset required to address this question </w:t>
      </w:r>
      <w:r w:rsidR="00F3083A">
        <w:t xml:space="preserve">pushed the assessment originally scheduled for 2023 back to begin in </w:t>
      </w:r>
      <w:r w:rsidR="00F8018B">
        <w:t>2024.</w:t>
      </w:r>
    </w:p>
    <w:p w14:paraId="1F7B05DF" w14:textId="77777777" w:rsidR="00BB6AA5" w:rsidRDefault="00BB6AA5" w:rsidP="006C361E"/>
    <w:p w14:paraId="60763A13" w14:textId="77777777" w:rsidR="006C361E" w:rsidRDefault="006C361E" w:rsidP="00615E4C">
      <w:pPr>
        <w:pStyle w:val="Heading2"/>
      </w:pPr>
      <w:bookmarkStart w:id="116" w:name="_Toc155880588"/>
      <w:bookmarkStart w:id="117" w:name="_Toc157060241"/>
      <w:r>
        <w:t>What the science says in 2024:</w:t>
      </w:r>
      <w:bookmarkEnd w:id="116"/>
      <w:bookmarkEnd w:id="117"/>
    </w:p>
    <w:p w14:paraId="23C78EA2" w14:textId="69853CD4" w:rsidR="00876048" w:rsidRPr="00876048" w:rsidRDefault="00876048" w:rsidP="00F75790">
      <w:pPr>
        <w:pStyle w:val="ListParagraph"/>
        <w:numPr>
          <w:ilvl w:val="0"/>
          <w:numId w:val="3"/>
        </w:numPr>
      </w:pPr>
      <w:r>
        <w:rPr>
          <w:szCs w:val="24"/>
        </w:rPr>
        <w:t xml:space="preserve">The Program has not been able to directly test the importance of flow at the time of whooping cranes making stopover decisions, since </w:t>
      </w:r>
      <w:r w:rsidR="00194A59">
        <w:rPr>
          <w:szCs w:val="24"/>
        </w:rPr>
        <w:t xml:space="preserve">Program </w:t>
      </w:r>
      <w:r>
        <w:rPr>
          <w:szCs w:val="24"/>
        </w:rPr>
        <w:t xml:space="preserve">monitoring efforts </w:t>
      </w:r>
      <w:r w:rsidR="00F3083A">
        <w:rPr>
          <w:szCs w:val="24"/>
        </w:rPr>
        <w:t xml:space="preserve">typically </w:t>
      </w:r>
      <w:r>
        <w:rPr>
          <w:szCs w:val="24"/>
        </w:rPr>
        <w:t xml:space="preserve">collect data only after </w:t>
      </w:r>
      <w:r w:rsidR="00F3083A">
        <w:rPr>
          <w:szCs w:val="24"/>
        </w:rPr>
        <w:t xml:space="preserve">the birds have made </w:t>
      </w:r>
      <w:r>
        <w:rPr>
          <w:szCs w:val="24"/>
        </w:rPr>
        <w:t xml:space="preserve">that decision </w:t>
      </w:r>
      <w:r w:rsidR="00F3083A">
        <w:rPr>
          <w:szCs w:val="24"/>
        </w:rPr>
        <w:t>and are on the ground</w:t>
      </w:r>
      <w:r>
        <w:rPr>
          <w:szCs w:val="24"/>
        </w:rPr>
        <w:t>.</w:t>
      </w:r>
    </w:p>
    <w:p w14:paraId="659CDD19" w14:textId="4730BF3A" w:rsidR="00BB6AA5" w:rsidRPr="007B4D10" w:rsidRDefault="00876048" w:rsidP="006C361E">
      <w:pPr>
        <w:pStyle w:val="ListParagraph"/>
        <w:numPr>
          <w:ilvl w:val="0"/>
          <w:numId w:val="3"/>
        </w:numPr>
      </w:pPr>
      <w:r w:rsidRPr="007B4D10">
        <w:rPr>
          <w:szCs w:val="24"/>
        </w:rPr>
        <w:t>A</w:t>
      </w:r>
      <w:r w:rsidR="00194A59" w:rsidRPr="007B4D10">
        <w:rPr>
          <w:szCs w:val="24"/>
        </w:rPr>
        <w:t xml:space="preserve"> preliminary Platte-specific analysis using cellular telemetry locations of 49 individual birds within 100 km of the central Platte River from fall 2017 – fall 2020 provided only 9 stopovers to compare with 108 flyovers, with 5 of those stopovers occurring within a single season. That preliminary analysis indicated that time of day was a better predictor of stopovers along the Platte than either unobstructed channel width or river flow</w:t>
      </w:r>
      <w:r w:rsidR="00563B7A">
        <w:rPr>
          <w:szCs w:val="24"/>
        </w:rPr>
        <w:t xml:space="preserve"> (</w:t>
      </w:r>
      <w:r w:rsidR="00563B7A" w:rsidRPr="00064AFB">
        <w:rPr>
          <w:b/>
          <w:bCs/>
          <w:szCs w:val="24"/>
        </w:rPr>
        <w:t xml:space="preserve">Figure </w:t>
      </w:r>
      <w:r w:rsidR="00B8039E">
        <w:rPr>
          <w:b/>
          <w:bCs/>
          <w:szCs w:val="24"/>
        </w:rPr>
        <w:t>8</w:t>
      </w:r>
      <w:r w:rsidR="00563B7A">
        <w:rPr>
          <w:szCs w:val="24"/>
        </w:rPr>
        <w:t>)</w:t>
      </w:r>
      <w:r w:rsidR="007B4D10">
        <w:rPr>
          <w:szCs w:val="24"/>
        </w:rPr>
        <w:t>.</w:t>
      </w:r>
    </w:p>
    <w:p w14:paraId="6209F0E9" w14:textId="559CE692" w:rsidR="007B4D10" w:rsidRPr="00885852" w:rsidRDefault="007B4D10" w:rsidP="007B4D10">
      <w:pPr>
        <w:pStyle w:val="ListParagraph"/>
        <w:numPr>
          <w:ilvl w:val="0"/>
          <w:numId w:val="3"/>
        </w:numPr>
      </w:pPr>
      <w:r w:rsidRPr="001C0186">
        <w:rPr>
          <w:rFonts w:cstheme="minorHAnsi"/>
        </w:rPr>
        <w:t>The small number of telemetry birds that stop along the AHR limits the confidence we have in preliminary analyses and may limit the ability to examine the relative effect size of multiple factors involved in stopover decisions</w:t>
      </w:r>
      <w:r w:rsidR="001C0186" w:rsidRPr="001C0186">
        <w:rPr>
          <w:rFonts w:cstheme="minorHAnsi"/>
        </w:rPr>
        <w:t>.</w:t>
      </w:r>
    </w:p>
    <w:p w14:paraId="559C10E9" w14:textId="77777777" w:rsidR="00885852" w:rsidRDefault="00885852" w:rsidP="00885852"/>
    <w:p w14:paraId="6652890C" w14:textId="16C9EE02" w:rsidR="007B4D10" w:rsidRDefault="007B4D10" w:rsidP="00D37A36">
      <w:pPr>
        <w:pStyle w:val="ListParagraph"/>
        <w:ind w:left="360"/>
        <w:jc w:val="center"/>
      </w:pPr>
      <w:r w:rsidRPr="007C6A47">
        <w:rPr>
          <w:b/>
          <w:bCs/>
          <w:noProof/>
        </w:rPr>
        <w:drawing>
          <wp:inline distT="0" distB="0" distL="0" distR="0" wp14:anchorId="5BBC8F14" wp14:editId="6BC9CFA0">
            <wp:extent cx="3841643" cy="367665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82640" cy="3715886"/>
                    </a:xfrm>
                    <a:prstGeom prst="rect">
                      <a:avLst/>
                    </a:prstGeom>
                    <a:noFill/>
                    <a:ln>
                      <a:noFill/>
                    </a:ln>
                  </pic:spPr>
                </pic:pic>
              </a:graphicData>
            </a:graphic>
          </wp:inline>
        </w:drawing>
      </w:r>
    </w:p>
    <w:p w14:paraId="4F3A2FCE" w14:textId="4CA7006A" w:rsidR="007B4D10" w:rsidRPr="00D37A36" w:rsidRDefault="007B4D10" w:rsidP="00D37A36">
      <w:pPr>
        <w:rPr>
          <w:sz w:val="18"/>
          <w:szCs w:val="18"/>
        </w:rPr>
      </w:pPr>
      <w:r w:rsidRPr="00885852">
        <w:rPr>
          <w:b/>
          <w:bCs/>
          <w:sz w:val="18"/>
          <w:szCs w:val="18"/>
        </w:rPr>
        <w:t>Figure</w:t>
      </w:r>
      <w:r w:rsidR="00194239" w:rsidRPr="00885852">
        <w:rPr>
          <w:b/>
          <w:bCs/>
          <w:sz w:val="18"/>
          <w:szCs w:val="18"/>
        </w:rPr>
        <w:t xml:space="preserve"> </w:t>
      </w:r>
      <w:r w:rsidR="00B8039E">
        <w:rPr>
          <w:b/>
          <w:bCs/>
          <w:sz w:val="18"/>
          <w:szCs w:val="18"/>
        </w:rPr>
        <w:t>8</w:t>
      </w:r>
      <w:r w:rsidRPr="00885852">
        <w:rPr>
          <w:b/>
          <w:bCs/>
          <w:sz w:val="18"/>
          <w:szCs w:val="18"/>
        </w:rPr>
        <w:t>.</w:t>
      </w:r>
      <w:r w:rsidRPr="00D37A36">
        <w:rPr>
          <w:b/>
          <w:bCs/>
          <w:sz w:val="18"/>
          <w:szCs w:val="18"/>
        </w:rPr>
        <w:t xml:space="preserve"> </w:t>
      </w:r>
      <w:r w:rsidRPr="00D37A36">
        <w:rPr>
          <w:sz w:val="18"/>
          <w:szCs w:val="18"/>
        </w:rPr>
        <w:t>Predicted probability of an Associated Habitat Reach stopover in response to time until dark (sunset plus 30 minutes) of cellular telemetry marked whooping cranes from fall 2017 – spring 2020. Open circles represent whooping crane stopovers (y=1) and flyovers (y=0).</w:t>
      </w:r>
    </w:p>
    <w:p w14:paraId="10B4D5C6" w14:textId="77777777" w:rsidR="006C361E" w:rsidRDefault="006C361E" w:rsidP="00615E4C">
      <w:pPr>
        <w:pStyle w:val="Heading2"/>
      </w:pPr>
      <w:bookmarkStart w:id="118" w:name="_Toc155880589"/>
      <w:bookmarkStart w:id="119" w:name="_Toc157060242"/>
      <w:r w:rsidRPr="00885852">
        <w:t>We estimate with confidence that:</w:t>
      </w:r>
      <w:bookmarkEnd w:id="118"/>
      <w:bookmarkEnd w:id="119"/>
    </w:p>
    <w:p w14:paraId="0479D683" w14:textId="7FB7F12D" w:rsidR="006C361E" w:rsidRDefault="00885852" w:rsidP="00F75790">
      <w:pPr>
        <w:pStyle w:val="ListParagraph"/>
        <w:numPr>
          <w:ilvl w:val="0"/>
          <w:numId w:val="3"/>
        </w:numPr>
      </w:pPr>
      <w:r>
        <w:t>Better addressed once the WC telemetry data is in hand and the EDO can c</w:t>
      </w:r>
      <w:r w:rsidR="00990C8B">
        <w:t>omplete data analysis in a manner that addresses this EBQ.</w:t>
      </w:r>
    </w:p>
    <w:p w14:paraId="786DBA55" w14:textId="77777777" w:rsidR="00BB6AA5" w:rsidRDefault="00BB6AA5" w:rsidP="006C361E"/>
    <w:p w14:paraId="5127214D" w14:textId="1B28493C" w:rsidR="006C361E" w:rsidRDefault="006C361E" w:rsidP="00615E4C">
      <w:pPr>
        <w:pStyle w:val="Heading2"/>
      </w:pPr>
      <w:bookmarkStart w:id="120" w:name="_Toc155880590"/>
      <w:bookmarkStart w:id="121" w:name="_Toc157060243"/>
      <w:r>
        <w:t>Answering EBQ #</w:t>
      </w:r>
      <w:r w:rsidR="0005577C">
        <w:t>4</w:t>
      </w:r>
      <w:r>
        <w:t xml:space="preserve"> during the Extension:</w:t>
      </w:r>
      <w:bookmarkEnd w:id="120"/>
      <w:bookmarkEnd w:id="121"/>
    </w:p>
    <w:p w14:paraId="424FFA59" w14:textId="77777777" w:rsidR="00D51C58" w:rsidRDefault="00D51C58" w:rsidP="00D51C58">
      <w:pPr>
        <w:pStyle w:val="ListParagraph"/>
        <w:numPr>
          <w:ilvl w:val="0"/>
          <w:numId w:val="3"/>
        </w:numPr>
      </w:pPr>
      <w:r>
        <w:t xml:space="preserve">This will be investigated as a desktop exercise utilizing cellular telemetry data to explore the effects of instantaneous flow on the decision to stopover as WC encounter the AHR. </w:t>
      </w:r>
    </w:p>
    <w:p w14:paraId="6D7DB26F" w14:textId="09358243" w:rsidR="006149A4" w:rsidRDefault="00D51C58" w:rsidP="006149A4">
      <w:pPr>
        <w:pStyle w:val="ListParagraph"/>
        <w:numPr>
          <w:ilvl w:val="0"/>
          <w:numId w:val="3"/>
        </w:numPr>
      </w:pPr>
      <w:r>
        <w:t>We estimate receiving a cellular telemetry dataset by February of 2024 with data analysis being completed by early 2025.</w:t>
      </w:r>
    </w:p>
    <w:p w14:paraId="65356C46" w14:textId="254C3B36" w:rsidR="006C361E" w:rsidRDefault="00345425" w:rsidP="00F75790">
      <w:pPr>
        <w:pStyle w:val="ListParagraph"/>
        <w:numPr>
          <w:ilvl w:val="0"/>
          <w:numId w:val="3"/>
        </w:numPr>
      </w:pPr>
      <w:r>
        <w:t>Second round of evaluation scheduled for 2027</w:t>
      </w:r>
    </w:p>
    <w:p w14:paraId="75A897FB" w14:textId="77777777" w:rsidR="00BB6AA5" w:rsidRDefault="00BB6AA5" w:rsidP="006C361E"/>
    <w:p w14:paraId="4D87A972" w14:textId="77777777" w:rsidR="006C361E" w:rsidRDefault="006C361E" w:rsidP="00615E4C">
      <w:pPr>
        <w:pStyle w:val="Heading2"/>
      </w:pPr>
      <w:bookmarkStart w:id="122" w:name="_Toc155880591"/>
      <w:bookmarkStart w:id="123" w:name="_Toc157060244"/>
      <w:r>
        <w:t>Management implications:</w:t>
      </w:r>
      <w:bookmarkEnd w:id="122"/>
      <w:bookmarkEnd w:id="123"/>
    </w:p>
    <w:p w14:paraId="51677C1B" w14:textId="44283D22" w:rsidR="006149A4" w:rsidRDefault="006149A4" w:rsidP="006149A4">
      <w:pPr>
        <w:pStyle w:val="ListParagraph"/>
        <w:numPr>
          <w:ilvl w:val="0"/>
          <w:numId w:val="3"/>
        </w:numPr>
      </w:pPr>
      <w:r>
        <w:t>If desktop analyses demonstrate flow to be important for WC stopover decisions, the Program may want to move toward a management hypothesis and perform flow experiments on the ground as water is available to test WC decision to stopover based upon flows during WC migration.</w:t>
      </w:r>
    </w:p>
    <w:p w14:paraId="7E24307E" w14:textId="7DECB54E" w:rsidR="00345CC1" w:rsidRPr="00345CC1" w:rsidRDefault="001C0186" w:rsidP="00345CC1">
      <w:pPr>
        <w:pStyle w:val="ListParagraph"/>
        <w:numPr>
          <w:ilvl w:val="0"/>
          <w:numId w:val="3"/>
        </w:numPr>
      </w:pPr>
      <w:r w:rsidRPr="00F04678">
        <w:rPr>
          <w:rFonts w:cstheme="minorHAnsi"/>
        </w:rPr>
        <w:t>Information on the relative importance of factors the Program can control (flow, channel width) compared to those it cannot (time of day, weather, distance since last stopover) can be used to help predict changes in WC use of the Program AHR that might be expected in response to Second Increment management alternatives</w:t>
      </w:r>
      <w:r w:rsidR="00BF5263" w:rsidRPr="00F04678">
        <w:rPr>
          <w:rFonts w:cstheme="minorHAnsi"/>
        </w:rPr>
        <w:t xml:space="preserve"> as part of a structured decision-making process.</w:t>
      </w:r>
    </w:p>
    <w:p w14:paraId="6A130787" w14:textId="687C6975" w:rsidR="00D768AE" w:rsidRDefault="00D768AE" w:rsidP="00562562">
      <w:pPr>
        <w:sectPr w:rsidR="00D768AE" w:rsidSect="005B280F">
          <w:pgSz w:w="12240" w:h="15840"/>
          <w:pgMar w:top="1440" w:right="1440" w:bottom="1440" w:left="1440" w:header="720" w:footer="720" w:gutter="0"/>
          <w:lnNumType w:countBy="1" w:restart="newSection"/>
          <w:cols w:space="720"/>
          <w:docGrid w:linePitch="360"/>
        </w:sectPr>
      </w:pPr>
    </w:p>
    <w:p w14:paraId="0EB134ED" w14:textId="1079714A" w:rsidR="00D07D3B" w:rsidRDefault="00D07D3B" w:rsidP="00D07D3B">
      <w:pPr>
        <w:pStyle w:val="NoSpacing"/>
      </w:pPr>
      <w:r>
        <w:rPr>
          <w:noProof/>
        </w:rPr>
        <mc:AlternateContent>
          <mc:Choice Requires="wps">
            <w:drawing>
              <wp:inline distT="0" distB="0" distL="0" distR="0" wp14:anchorId="1DFBCE12" wp14:editId="601D4621">
                <wp:extent cx="5905500" cy="1404620"/>
                <wp:effectExtent l="0" t="0" r="19050" b="14605"/>
                <wp:docPr id="12471254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404620"/>
                        </a:xfrm>
                        <a:prstGeom prst="rect">
                          <a:avLst/>
                        </a:prstGeom>
                        <a:solidFill>
                          <a:srgbClr val="70AD47">
                            <a:lumMod val="60000"/>
                            <a:lumOff val="40000"/>
                          </a:srgbClr>
                        </a:solidFill>
                        <a:ln w="9525">
                          <a:solidFill>
                            <a:srgbClr val="000000"/>
                          </a:solidFill>
                          <a:miter lim="800000"/>
                          <a:headEnd/>
                          <a:tailEnd/>
                        </a:ln>
                      </wps:spPr>
                      <wps:txbx>
                        <w:txbxContent>
                          <w:p w14:paraId="67D5557B" w14:textId="77777777" w:rsidR="00D07D3B" w:rsidRPr="00DE40BA" w:rsidRDefault="00D07D3B" w:rsidP="00D07D3B">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wps:txbx>
                      <wps:bodyPr rot="0" vert="horz" wrap="square" lIns="91440" tIns="45720" rIns="91440" bIns="45720" anchor="t" anchorCtr="0">
                        <a:spAutoFit/>
                      </wps:bodyPr>
                    </wps:wsp>
                  </a:graphicData>
                </a:graphic>
              </wp:inline>
            </w:drawing>
          </mc:Choice>
          <mc:Fallback>
            <w:pict>
              <v:shape w14:anchorId="1DFBCE12" id="_x0000_s1034" type="#_x0000_t202" style="width:4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" fillcolor="#a9d18e">
                <v:textbox style="mso-fit-shape-to-text:t">
                  <w:txbxContent>
                    <w:p w14:paraId="67D5557B" w14:textId="77777777" w:rsidR="00D07D3B" w:rsidRPr="00DE40BA" w:rsidRDefault="00D07D3B" w:rsidP="00D07D3B">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v:textbox>
                <w10:anchorlock/>
              </v:shape>
            </w:pict>
          </mc:Fallback>
        </mc:AlternateContent>
      </w:r>
    </w:p>
    <w:p w14:paraId="3CFE0192" w14:textId="09DDDB30" w:rsidR="00D768AE" w:rsidRPr="00D07D3B" w:rsidRDefault="00D768AE" w:rsidP="00D07D3B">
      <w:pPr>
        <w:pStyle w:val="Heading1"/>
      </w:pPr>
      <w:bookmarkStart w:id="124" w:name="_Toc157060245"/>
      <w:r w:rsidRPr="00D07D3B">
        <w:t>EBQ #5</w:t>
      </w:r>
      <w:r w:rsidR="00D07D3B" w:rsidRPr="00D07D3B">
        <w:t xml:space="preserve"> – </w:t>
      </w:r>
      <w:r w:rsidR="00AA71B1" w:rsidRPr="00D07D3B">
        <w:rPr>
          <w:i/>
          <w:iCs/>
        </w:rPr>
        <w:t>What factors influence WC stopover length within the AHR?</w:t>
      </w:r>
      <w:bookmarkEnd w:id="124"/>
    </w:p>
    <w:p w14:paraId="68D6AB3D" w14:textId="2A537A6F" w:rsidR="00AA71B1" w:rsidRPr="00AA71B1" w:rsidRDefault="00F34E63" w:rsidP="00562562">
      <w:r>
        <w:rPr>
          <w:noProof/>
        </w:rPr>
        <w:drawing>
          <wp:anchor distT="0" distB="0" distL="114300" distR="114300" simplePos="0" relativeHeight="251689984" behindDoc="0" locked="0" layoutInCell="1" allowOverlap="1" wp14:anchorId="307F3A66" wp14:editId="37F0AD81">
            <wp:simplePos x="0" y="0"/>
            <wp:positionH relativeFrom="margin">
              <wp:posOffset>2682240</wp:posOffset>
            </wp:positionH>
            <wp:positionV relativeFrom="paragraph">
              <wp:posOffset>53975</wp:posOffset>
            </wp:positionV>
            <wp:extent cx="3221355" cy="2147570"/>
            <wp:effectExtent l="0" t="0" r="0" b="5080"/>
            <wp:wrapThrough wrapText="bothSides">
              <wp:wrapPolygon edited="0">
                <wp:start x="0" y="0"/>
                <wp:lineTo x="0" y="21459"/>
                <wp:lineTo x="21459" y="21459"/>
                <wp:lineTo x="21459" y="0"/>
                <wp:lineTo x="0" y="0"/>
              </wp:wrapPolygon>
            </wp:wrapThrough>
            <wp:docPr id="586987562" name="Picture 2" descr="A couple of birds walking on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87562" name="Picture 2" descr="A couple of birds walking on water&#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21355" cy="2147570"/>
                    </a:xfrm>
                    <a:prstGeom prst="rect">
                      <a:avLst/>
                    </a:prstGeom>
                    <a:noFill/>
                    <a:ln>
                      <a:noFill/>
                    </a:ln>
                  </pic:spPr>
                </pic:pic>
              </a:graphicData>
            </a:graphic>
          </wp:anchor>
        </w:drawing>
      </w:r>
    </w:p>
    <w:p w14:paraId="6E3D9569" w14:textId="70092814" w:rsidR="006C361E" w:rsidRDefault="006C361E" w:rsidP="00615E4C">
      <w:pPr>
        <w:pStyle w:val="Heading2"/>
      </w:pPr>
      <w:bookmarkStart w:id="125" w:name="_Toc155880593"/>
      <w:bookmarkStart w:id="126" w:name="_Toc157060246"/>
      <w:r>
        <w:t>2024 Assessment</w:t>
      </w:r>
      <w:r w:rsidR="00A260C4">
        <w:t>:</w:t>
      </w:r>
      <w:bookmarkEnd w:id="125"/>
      <w:bookmarkEnd w:id="126"/>
    </w:p>
    <w:p w14:paraId="3533392E" w14:textId="250B09F1" w:rsidR="00007116" w:rsidRDefault="00007116" w:rsidP="00007116">
      <w:pPr>
        <w:pStyle w:val="ListParagraph"/>
        <w:numPr>
          <w:ilvl w:val="0"/>
          <w:numId w:val="3"/>
        </w:numPr>
      </w:pPr>
      <w:r>
        <w:t>Delay in acquiring the cellular telemetry dataset required to address this question pushed the assessment originally scheduled for 2023 back to begin in 2024.</w:t>
      </w:r>
    </w:p>
    <w:p w14:paraId="4B99C8BE" w14:textId="6BF7AC8A" w:rsidR="006C361E" w:rsidRDefault="006C361E" w:rsidP="00007116"/>
    <w:p w14:paraId="65B6F491" w14:textId="2A5D3BDC" w:rsidR="006C361E" w:rsidRDefault="006C361E" w:rsidP="00615E4C">
      <w:pPr>
        <w:pStyle w:val="Heading2"/>
      </w:pPr>
      <w:bookmarkStart w:id="127" w:name="_Toc155880594"/>
      <w:bookmarkStart w:id="128" w:name="_Toc157060247"/>
      <w:r>
        <w:t>What the science says in 2024:</w:t>
      </w:r>
      <w:bookmarkEnd w:id="127"/>
      <w:bookmarkEnd w:id="128"/>
    </w:p>
    <w:p w14:paraId="1BF03A24" w14:textId="616FBA5D" w:rsidR="00341373" w:rsidRDefault="00341373" w:rsidP="00341373">
      <w:pPr>
        <w:pStyle w:val="ListParagraph"/>
        <w:numPr>
          <w:ilvl w:val="0"/>
          <w:numId w:val="3"/>
        </w:numPr>
      </w:pPr>
      <w:r>
        <w:rPr>
          <w:noProof/>
        </w:rPr>
        <mc:AlternateContent>
          <mc:Choice Requires="wps">
            <w:drawing>
              <wp:anchor distT="45720" distB="45720" distL="114300" distR="114300" simplePos="0" relativeHeight="251675648" behindDoc="0" locked="0" layoutInCell="1" allowOverlap="1" wp14:anchorId="47068C3E" wp14:editId="659CCD7A">
                <wp:simplePos x="0" y="0"/>
                <wp:positionH relativeFrom="margin">
                  <wp:posOffset>2686050</wp:posOffset>
                </wp:positionH>
                <wp:positionV relativeFrom="paragraph">
                  <wp:posOffset>604520</wp:posOffset>
                </wp:positionV>
                <wp:extent cx="3181985" cy="1404620"/>
                <wp:effectExtent l="0" t="0" r="18415" b="16510"/>
                <wp:wrapSquare wrapText="bothSides"/>
                <wp:docPr id="4803360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985" cy="1404620"/>
                        </a:xfrm>
                        <a:prstGeom prst="rect">
                          <a:avLst/>
                        </a:prstGeom>
                        <a:solidFill>
                          <a:srgbClr val="FFFFFF"/>
                        </a:solidFill>
                        <a:ln w="9525">
                          <a:solidFill>
                            <a:srgbClr val="000000"/>
                          </a:solidFill>
                          <a:miter lim="800000"/>
                          <a:headEnd/>
                          <a:tailEnd/>
                        </a:ln>
                      </wps:spPr>
                      <wps:txbx>
                        <w:txbxContent>
                          <w:p w14:paraId="3BB3F233" w14:textId="42CFAB19" w:rsidR="00194239" w:rsidRDefault="007D1B8A" w:rsidP="00D37A36">
                            <w:pPr>
                              <w:rPr>
                                <w:sz w:val="18"/>
                                <w:szCs w:val="18"/>
                              </w:rPr>
                            </w:pPr>
                            <w:r w:rsidRPr="00D37A36">
                              <w:rPr>
                                <w:b/>
                                <w:bCs/>
                                <w:sz w:val="18"/>
                                <w:szCs w:val="18"/>
                              </w:rPr>
                              <w:t xml:space="preserve">Figure </w:t>
                            </w:r>
                            <w:r w:rsidR="00B8039E">
                              <w:rPr>
                                <w:b/>
                                <w:bCs/>
                                <w:sz w:val="18"/>
                                <w:szCs w:val="18"/>
                              </w:rPr>
                              <w:t>9</w:t>
                            </w:r>
                            <w:r w:rsidRPr="00D37A36">
                              <w:rPr>
                                <w:b/>
                                <w:bCs/>
                                <w:sz w:val="18"/>
                                <w:szCs w:val="18"/>
                              </w:rPr>
                              <w:t>.</w:t>
                            </w:r>
                            <w:r w:rsidRPr="00D37A36">
                              <w:rPr>
                                <w:sz w:val="18"/>
                                <w:szCs w:val="18"/>
                              </w:rPr>
                              <w:t xml:space="preserve"> </w:t>
                            </w:r>
                            <w:r w:rsidR="00194239" w:rsidRPr="00D37A36">
                              <w:rPr>
                                <w:sz w:val="18"/>
                                <w:szCs w:val="18"/>
                              </w:rPr>
                              <w:t xml:space="preserve">Record stay length </w:t>
                            </w:r>
                            <w:r w:rsidR="00194239" w:rsidRPr="00BB593E">
                              <w:rPr>
                                <w:sz w:val="18"/>
                                <w:szCs w:val="18"/>
                              </w:rPr>
                              <w:t xml:space="preserve">of </w:t>
                            </w:r>
                            <w:r w:rsidR="00BB593E" w:rsidRPr="00BB593E">
                              <w:rPr>
                                <w:sz w:val="18"/>
                                <w:szCs w:val="18"/>
                              </w:rPr>
                              <w:t xml:space="preserve">73 </w:t>
                            </w:r>
                            <w:r w:rsidR="00194239" w:rsidRPr="00BB593E">
                              <w:rPr>
                                <w:sz w:val="18"/>
                                <w:szCs w:val="18"/>
                              </w:rPr>
                              <w:t xml:space="preserve">days on the Platte River for two adult whooping cranes from </w:t>
                            </w:r>
                            <w:r w:rsidR="00341373" w:rsidRPr="00BB593E">
                              <w:rPr>
                                <w:sz w:val="18"/>
                                <w:szCs w:val="18"/>
                              </w:rPr>
                              <w:t>Oct 30, 2023</w:t>
                            </w:r>
                            <w:r w:rsidR="00194239" w:rsidRPr="00BB593E">
                              <w:rPr>
                                <w:sz w:val="18"/>
                                <w:szCs w:val="18"/>
                              </w:rPr>
                              <w:t xml:space="preserve"> to </w:t>
                            </w:r>
                            <w:r w:rsidR="00BB593E" w:rsidRPr="00064AFB">
                              <w:rPr>
                                <w:sz w:val="18"/>
                                <w:szCs w:val="18"/>
                              </w:rPr>
                              <w:t>Jan 10</w:t>
                            </w:r>
                            <w:r w:rsidR="00194239" w:rsidRPr="00064AFB">
                              <w:rPr>
                                <w:sz w:val="18"/>
                                <w:szCs w:val="18"/>
                              </w:rPr>
                              <w:t>, 202</w:t>
                            </w:r>
                            <w:r w:rsidR="00341373" w:rsidRPr="00064AFB">
                              <w:rPr>
                                <w:sz w:val="18"/>
                                <w:szCs w:val="18"/>
                              </w:rPr>
                              <w:t>4</w:t>
                            </w:r>
                            <w:r w:rsidR="00194239" w:rsidRPr="00BB593E">
                              <w:rPr>
                                <w:sz w:val="18"/>
                                <w:szCs w:val="18"/>
                              </w:rPr>
                              <w:t>.</w:t>
                            </w:r>
                          </w:p>
                          <w:p w14:paraId="0982D3BB" w14:textId="6AFAE806" w:rsidR="00E33AC5" w:rsidRPr="00E51A98" w:rsidRDefault="00E33AC5" w:rsidP="00D37A36">
                            <w:pPr>
                              <w:rPr>
                                <w:sz w:val="16"/>
                                <w:szCs w:val="16"/>
                              </w:rPr>
                            </w:pPr>
                            <w:r w:rsidRPr="00E51A98">
                              <w:rPr>
                                <w:i/>
                                <w:iCs/>
                                <w:sz w:val="16"/>
                                <w:szCs w:val="16"/>
                              </w:rPr>
                              <w:t>Photo Credit:</w:t>
                            </w:r>
                            <w:r w:rsidR="003C4DDD" w:rsidRPr="00E51A98">
                              <w:rPr>
                                <w:sz w:val="16"/>
                                <w:szCs w:val="16"/>
                              </w:rPr>
                              <w:t xml:space="preserve"> </w:t>
                            </w:r>
                            <w:hyperlink r:id="rId34" w:history="1">
                              <w:r w:rsidR="00E51A98" w:rsidRPr="0043201F">
                                <w:rPr>
                                  <w:rStyle w:val="Hyperlink"/>
                                  <w:sz w:val="16"/>
                                  <w:szCs w:val="16"/>
                                </w:rPr>
                                <w:t>www.rickrasmussen.com</w:t>
                              </w:r>
                            </w:hyperlink>
                            <w:r w:rsidR="00E51A98">
                              <w:rPr>
                                <w:sz w:val="16"/>
                                <w:szCs w:val="16"/>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068C3E" id="_x0000_s1035" type="#_x0000_t202" style="position:absolute;left:0;text-align:left;margin-left:211.5pt;margin-top:47.6pt;width:250.55pt;height:110.6pt;z-index:2516756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">
                <v:textbox style="mso-fit-shape-to-text:t">
                  <w:txbxContent>
                    <w:p w14:paraId="3BB3F233" w14:textId="42CFAB19" w:rsidR="00194239" w:rsidRDefault="007D1B8A" w:rsidP="00D37A36">
                      <w:pPr>
                        <w:rPr>
                          <w:sz w:val="18"/>
                          <w:szCs w:val="18"/>
                        </w:rPr>
                      </w:pPr>
                      <w:r w:rsidRPr="00D37A36">
                        <w:rPr>
                          <w:b/>
                          <w:bCs/>
                          <w:sz w:val="18"/>
                          <w:szCs w:val="18"/>
                        </w:rPr>
                        <w:t xml:space="preserve">Figure </w:t>
                      </w:r>
                      <w:r w:rsidR="00B8039E">
                        <w:rPr>
                          <w:b/>
                          <w:bCs/>
                          <w:sz w:val="18"/>
                          <w:szCs w:val="18"/>
                        </w:rPr>
                        <w:t>9</w:t>
                      </w:r>
                      <w:r w:rsidRPr="00D37A36">
                        <w:rPr>
                          <w:b/>
                          <w:bCs/>
                          <w:sz w:val="18"/>
                          <w:szCs w:val="18"/>
                        </w:rPr>
                        <w:t>.</w:t>
                      </w:r>
                      <w:r w:rsidRPr="00D37A36">
                        <w:rPr>
                          <w:sz w:val="18"/>
                          <w:szCs w:val="18"/>
                        </w:rPr>
                        <w:t xml:space="preserve"> </w:t>
                      </w:r>
                      <w:r w:rsidR="00194239" w:rsidRPr="00D37A36">
                        <w:rPr>
                          <w:sz w:val="18"/>
                          <w:szCs w:val="18"/>
                        </w:rPr>
                        <w:t xml:space="preserve">Record stay length </w:t>
                      </w:r>
                      <w:r w:rsidR="00194239" w:rsidRPr="00BB593E">
                        <w:rPr>
                          <w:sz w:val="18"/>
                          <w:szCs w:val="18"/>
                        </w:rPr>
                        <w:t xml:space="preserve">of </w:t>
                      </w:r>
                      <w:r w:rsidR="00BB593E" w:rsidRPr="00BB593E">
                        <w:rPr>
                          <w:sz w:val="18"/>
                          <w:szCs w:val="18"/>
                        </w:rPr>
                        <w:t xml:space="preserve">73 </w:t>
                      </w:r>
                      <w:r w:rsidR="00194239" w:rsidRPr="00BB593E">
                        <w:rPr>
                          <w:sz w:val="18"/>
                          <w:szCs w:val="18"/>
                        </w:rPr>
                        <w:t xml:space="preserve">days on the Platte River for two adult whooping cranes from </w:t>
                      </w:r>
                      <w:r w:rsidR="00341373" w:rsidRPr="00BB593E">
                        <w:rPr>
                          <w:sz w:val="18"/>
                          <w:szCs w:val="18"/>
                        </w:rPr>
                        <w:t>Oct 30, 2023</w:t>
                      </w:r>
                      <w:r w:rsidR="00194239" w:rsidRPr="00BB593E">
                        <w:rPr>
                          <w:sz w:val="18"/>
                          <w:szCs w:val="18"/>
                        </w:rPr>
                        <w:t xml:space="preserve"> to </w:t>
                      </w:r>
                      <w:r w:rsidR="00BB593E" w:rsidRPr="00064AFB">
                        <w:rPr>
                          <w:sz w:val="18"/>
                          <w:szCs w:val="18"/>
                        </w:rPr>
                        <w:t>Jan 10</w:t>
                      </w:r>
                      <w:r w:rsidR="00194239" w:rsidRPr="00064AFB">
                        <w:rPr>
                          <w:sz w:val="18"/>
                          <w:szCs w:val="18"/>
                        </w:rPr>
                        <w:t>, 202</w:t>
                      </w:r>
                      <w:r w:rsidR="00341373" w:rsidRPr="00064AFB">
                        <w:rPr>
                          <w:sz w:val="18"/>
                          <w:szCs w:val="18"/>
                        </w:rPr>
                        <w:t>4</w:t>
                      </w:r>
                      <w:r w:rsidR="00194239" w:rsidRPr="00BB593E">
                        <w:rPr>
                          <w:sz w:val="18"/>
                          <w:szCs w:val="18"/>
                        </w:rPr>
                        <w:t>.</w:t>
                      </w:r>
                    </w:p>
                    <w:p w14:paraId="0982D3BB" w14:textId="6AFAE806" w:rsidR="00E33AC5" w:rsidRPr="00E51A98" w:rsidRDefault="00E33AC5" w:rsidP="00D37A36">
                      <w:pPr>
                        <w:rPr>
                          <w:sz w:val="16"/>
                          <w:szCs w:val="16"/>
                        </w:rPr>
                      </w:pPr>
                      <w:r w:rsidRPr="00E51A98">
                        <w:rPr>
                          <w:i/>
                          <w:iCs/>
                          <w:sz w:val="16"/>
                          <w:szCs w:val="16"/>
                        </w:rPr>
                        <w:t>Photo Credit:</w:t>
                      </w:r>
                      <w:r w:rsidR="003C4DDD" w:rsidRPr="00E51A98">
                        <w:rPr>
                          <w:sz w:val="16"/>
                          <w:szCs w:val="16"/>
                        </w:rPr>
                        <w:t xml:space="preserve"> </w:t>
                      </w:r>
                      <w:hyperlink r:id="rId35" w:history="1">
                        <w:r w:rsidR="00E51A98" w:rsidRPr="0043201F">
                          <w:rPr>
                            <w:rStyle w:val="Hyperlink"/>
                            <w:sz w:val="16"/>
                            <w:szCs w:val="16"/>
                          </w:rPr>
                          <w:t>www.rickrasmussen.com</w:t>
                        </w:r>
                      </w:hyperlink>
                      <w:r w:rsidR="00E51A98">
                        <w:rPr>
                          <w:sz w:val="16"/>
                          <w:szCs w:val="16"/>
                        </w:rPr>
                        <w:t xml:space="preserve"> </w:t>
                      </w:r>
                    </w:p>
                  </w:txbxContent>
                </v:textbox>
                <w10:wrap type="square" anchorx="margin"/>
              </v:shape>
            </w:pict>
          </mc:Fallback>
        </mc:AlternateContent>
      </w:r>
      <w:r w:rsidR="005E199E">
        <w:t>The Program has not addressed the influence of flow on WC stopover length at this point</w:t>
      </w:r>
      <w:r w:rsidR="00B8039E">
        <w:t xml:space="preserve"> (</w:t>
      </w:r>
      <w:r w:rsidR="00B8039E" w:rsidRPr="00B8039E">
        <w:rPr>
          <w:b/>
          <w:bCs/>
        </w:rPr>
        <w:t>Figure 9</w:t>
      </w:r>
      <w:r w:rsidR="00B8039E">
        <w:t>)</w:t>
      </w:r>
      <w:r w:rsidR="005E199E">
        <w:t>. This question will be addressed as part of the telemetry analysis once data are acquired.</w:t>
      </w:r>
    </w:p>
    <w:p w14:paraId="04DACA3A" w14:textId="5EA8054A" w:rsidR="00BB6AA5" w:rsidRDefault="00BB6AA5" w:rsidP="006C361E"/>
    <w:p w14:paraId="167CEE95" w14:textId="458F61D0" w:rsidR="006C361E" w:rsidRDefault="006C361E" w:rsidP="00615E4C">
      <w:pPr>
        <w:pStyle w:val="Heading2"/>
      </w:pPr>
      <w:bookmarkStart w:id="129" w:name="_Toc155880595"/>
      <w:bookmarkStart w:id="130" w:name="_Toc157060248"/>
      <w:r w:rsidRPr="00990C8B">
        <w:t>We estimate with confidence that:</w:t>
      </w:r>
      <w:bookmarkEnd w:id="129"/>
      <w:bookmarkEnd w:id="130"/>
    </w:p>
    <w:p w14:paraId="51D978E2" w14:textId="701A1E2D" w:rsidR="006C361E" w:rsidRDefault="00FE41BC" w:rsidP="00FE41BC">
      <w:pPr>
        <w:pStyle w:val="ListParagraph"/>
        <w:numPr>
          <w:ilvl w:val="0"/>
          <w:numId w:val="3"/>
        </w:numPr>
      </w:pPr>
      <w:r>
        <w:t>Better addressed once the WC telemetry data is in hand and the EDO can complete data analysis in a manner that addresses this EBQ.</w:t>
      </w:r>
    </w:p>
    <w:p w14:paraId="4BBDA629" w14:textId="4062D5D9" w:rsidR="00BB6AA5" w:rsidRDefault="00BB6AA5" w:rsidP="006C361E"/>
    <w:p w14:paraId="1EFF5D21" w14:textId="4F704F74" w:rsidR="006C361E" w:rsidRDefault="006C361E" w:rsidP="00615E4C">
      <w:pPr>
        <w:pStyle w:val="Heading2"/>
      </w:pPr>
      <w:bookmarkStart w:id="131" w:name="_Toc155880596"/>
      <w:bookmarkStart w:id="132" w:name="_Toc157060249"/>
      <w:r>
        <w:t>Answering EBQ #</w:t>
      </w:r>
      <w:r w:rsidR="00A260C4">
        <w:t>5</w:t>
      </w:r>
      <w:r>
        <w:t xml:space="preserve"> during the Extension:</w:t>
      </w:r>
      <w:bookmarkEnd w:id="131"/>
      <w:bookmarkEnd w:id="132"/>
    </w:p>
    <w:p w14:paraId="1139C36E" w14:textId="072CB556" w:rsidR="0010043E" w:rsidRDefault="0010043E" w:rsidP="0010043E">
      <w:pPr>
        <w:pStyle w:val="ListParagraph"/>
        <w:numPr>
          <w:ilvl w:val="0"/>
          <w:numId w:val="3"/>
        </w:numPr>
      </w:pPr>
      <w:r>
        <w:t>T</w:t>
      </w:r>
      <w:r w:rsidRPr="002750A5">
        <w:t>his will be investigated as a desktop exercise utilizing PRRIP monitoring data and telemetry data to further explore the effects of flow on WC stopover lengths within the AHR</w:t>
      </w:r>
      <w:r w:rsidR="009A14F0">
        <w:t>.</w:t>
      </w:r>
    </w:p>
    <w:p w14:paraId="37C630C7" w14:textId="6B02BAB9" w:rsidR="0010043E" w:rsidRDefault="0010043E" w:rsidP="0010043E">
      <w:pPr>
        <w:pStyle w:val="ListParagraph"/>
        <w:numPr>
          <w:ilvl w:val="0"/>
          <w:numId w:val="3"/>
        </w:numPr>
      </w:pPr>
      <w:r>
        <w:t>We estimate receiving a cellular telemetry dataset by February of 2024 with data analysis being completed by early 2025.</w:t>
      </w:r>
    </w:p>
    <w:p w14:paraId="45A48B76" w14:textId="53B87517" w:rsidR="006C361E" w:rsidRDefault="0010043E" w:rsidP="0010043E">
      <w:pPr>
        <w:pStyle w:val="ListParagraph"/>
        <w:numPr>
          <w:ilvl w:val="0"/>
          <w:numId w:val="3"/>
        </w:numPr>
      </w:pPr>
      <w:r>
        <w:t>Second round of evaluation scheduled for 2027</w:t>
      </w:r>
    </w:p>
    <w:p w14:paraId="2F618948" w14:textId="77777777" w:rsidR="00BB6AA5" w:rsidRDefault="00BB6AA5" w:rsidP="006C361E"/>
    <w:p w14:paraId="54870ADA" w14:textId="77777777" w:rsidR="006C361E" w:rsidRDefault="006C361E" w:rsidP="00615E4C">
      <w:pPr>
        <w:pStyle w:val="Heading2"/>
      </w:pPr>
      <w:bookmarkStart w:id="133" w:name="_Toc155880597"/>
      <w:bookmarkStart w:id="134" w:name="_Toc157060250"/>
      <w:r>
        <w:t>Management implications:</w:t>
      </w:r>
      <w:bookmarkEnd w:id="133"/>
      <w:bookmarkEnd w:id="134"/>
    </w:p>
    <w:p w14:paraId="1E4DFA08" w14:textId="304498D8" w:rsidR="005E199E" w:rsidRDefault="005E199E" w:rsidP="005E199E">
      <w:pPr>
        <w:pStyle w:val="ListParagraph"/>
        <w:numPr>
          <w:ilvl w:val="0"/>
          <w:numId w:val="3"/>
        </w:numPr>
      </w:pPr>
      <w:r w:rsidRPr="002750A5">
        <w:t xml:space="preserve">If desktop analyses demonstrate flow to be important for WC stay lengths, the Program </w:t>
      </w:r>
      <w:r>
        <w:t>may</w:t>
      </w:r>
      <w:r w:rsidRPr="002750A5">
        <w:t xml:space="preserve"> move toward a management hypothesis and perform flow experiments on the ground as water is available to test WC stopover lengths in response to flows during WC migration, starting by filling data gaps for WC tolerance to low flows.</w:t>
      </w:r>
    </w:p>
    <w:p w14:paraId="55F10FE1" w14:textId="32197690" w:rsidR="00F75790" w:rsidRPr="00D37A36" w:rsidRDefault="0010043E" w:rsidP="00F75790">
      <w:pPr>
        <w:pStyle w:val="ListParagraph"/>
        <w:numPr>
          <w:ilvl w:val="0"/>
          <w:numId w:val="3"/>
        </w:numPr>
        <w:rPr>
          <w:szCs w:val="24"/>
        </w:rPr>
        <w:sectPr w:rsidR="00F75790" w:rsidRPr="00D37A36" w:rsidSect="005B280F">
          <w:pgSz w:w="12240" w:h="15840"/>
          <w:pgMar w:top="1440" w:right="1440" w:bottom="1440" w:left="1440" w:header="720" w:footer="720" w:gutter="0"/>
          <w:lnNumType w:countBy="1" w:restart="newSection"/>
          <w:cols w:space="720"/>
          <w:docGrid w:linePitch="360"/>
        </w:sectPr>
      </w:pPr>
      <w:r w:rsidRPr="001C0186">
        <w:rPr>
          <w:rFonts w:cstheme="minorHAnsi"/>
        </w:rPr>
        <w:t>Information on the relative importance of factors the Program can control (flow, channel width) compared to those it cannot (</w:t>
      </w:r>
      <w:r w:rsidR="00C115D2">
        <w:rPr>
          <w:rFonts w:cstheme="minorHAnsi"/>
        </w:rPr>
        <w:t xml:space="preserve">length of stay at previous stopover, </w:t>
      </w:r>
      <w:r w:rsidRPr="001C0186">
        <w:rPr>
          <w:rFonts w:cstheme="minorHAnsi"/>
        </w:rPr>
        <w:t xml:space="preserve">weather, </w:t>
      </w:r>
      <w:r w:rsidR="00C115D2">
        <w:rPr>
          <w:rFonts w:cstheme="minorHAnsi"/>
        </w:rPr>
        <w:t xml:space="preserve">season, proportion of migration completed, group composition, association with sandhills) </w:t>
      </w:r>
      <w:r w:rsidRPr="001C0186">
        <w:rPr>
          <w:rFonts w:cstheme="minorHAnsi"/>
        </w:rPr>
        <w:t xml:space="preserve">can be used to help predict </w:t>
      </w:r>
      <w:r>
        <w:rPr>
          <w:rFonts w:cstheme="minorHAnsi"/>
        </w:rPr>
        <w:t>changes in</w:t>
      </w:r>
      <w:r w:rsidRPr="001C0186">
        <w:rPr>
          <w:rFonts w:cstheme="minorHAnsi"/>
        </w:rPr>
        <w:t xml:space="preserve"> WC use </w:t>
      </w:r>
      <w:r>
        <w:rPr>
          <w:rFonts w:cstheme="minorHAnsi"/>
        </w:rPr>
        <w:t xml:space="preserve">of the Program AHR </w:t>
      </w:r>
      <w:r w:rsidRPr="001C0186">
        <w:rPr>
          <w:rFonts w:cstheme="minorHAnsi"/>
        </w:rPr>
        <w:t xml:space="preserve">that </w:t>
      </w:r>
      <w:r>
        <w:rPr>
          <w:rFonts w:cstheme="minorHAnsi"/>
        </w:rPr>
        <w:t>might be</w:t>
      </w:r>
      <w:r w:rsidRPr="001C0186">
        <w:rPr>
          <w:rFonts w:cstheme="minorHAnsi"/>
        </w:rPr>
        <w:t xml:space="preserve"> expected in response to </w:t>
      </w:r>
      <w:r>
        <w:rPr>
          <w:rFonts w:cstheme="minorHAnsi"/>
        </w:rPr>
        <w:t xml:space="preserve">Second Increment management </w:t>
      </w:r>
      <w:r w:rsidRPr="001C0186">
        <w:rPr>
          <w:rFonts w:cstheme="minorHAnsi"/>
        </w:rPr>
        <w:t>alternative</w:t>
      </w:r>
      <w:r>
        <w:rPr>
          <w:rFonts w:cstheme="minorHAnsi"/>
        </w:rPr>
        <w:t>s as part of a structured decision-making process.</w:t>
      </w:r>
    </w:p>
    <w:p w14:paraId="014BB256" w14:textId="257BB1F8" w:rsidR="00270C4C" w:rsidRDefault="00270C4C" w:rsidP="00270C4C">
      <w:pPr>
        <w:pStyle w:val="NoSpacing"/>
      </w:pPr>
      <w:r>
        <w:rPr>
          <w:noProof/>
        </w:rPr>
        <mc:AlternateContent>
          <mc:Choice Requires="wps">
            <w:drawing>
              <wp:inline distT="0" distB="0" distL="0" distR="0" wp14:anchorId="156744DF" wp14:editId="35C9E752">
                <wp:extent cx="5905500" cy="1404620"/>
                <wp:effectExtent l="0" t="0" r="19050" b="14605"/>
                <wp:docPr id="72318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404620"/>
                        </a:xfrm>
                        <a:prstGeom prst="rect">
                          <a:avLst/>
                        </a:prstGeom>
                        <a:solidFill>
                          <a:srgbClr val="70AD47">
                            <a:lumMod val="60000"/>
                            <a:lumOff val="40000"/>
                          </a:srgbClr>
                        </a:solidFill>
                        <a:ln w="9525">
                          <a:solidFill>
                            <a:srgbClr val="000000"/>
                          </a:solidFill>
                          <a:miter lim="800000"/>
                          <a:headEnd/>
                          <a:tailEnd/>
                        </a:ln>
                      </wps:spPr>
                      <wps:txbx>
                        <w:txbxContent>
                          <w:p w14:paraId="732366A3" w14:textId="77777777" w:rsidR="00270C4C" w:rsidRPr="00DE40BA" w:rsidRDefault="00270C4C" w:rsidP="00270C4C">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wps:txbx>
                      <wps:bodyPr rot="0" vert="horz" wrap="square" lIns="91440" tIns="45720" rIns="91440" bIns="45720" anchor="t" anchorCtr="0">
                        <a:spAutoFit/>
                      </wps:bodyPr>
                    </wps:wsp>
                  </a:graphicData>
                </a:graphic>
              </wp:inline>
            </w:drawing>
          </mc:Choice>
          <mc:Fallback>
            <w:pict>
              <v:shape w14:anchorId="156744DF" id="_x0000_s1036" type="#_x0000_t202" style="width:4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" fillcolor="#a9d18e">
                <v:textbox style="mso-fit-shape-to-text:t">
                  <w:txbxContent>
                    <w:p w14:paraId="732366A3" w14:textId="77777777" w:rsidR="00270C4C" w:rsidRPr="00DE40BA" w:rsidRDefault="00270C4C" w:rsidP="00270C4C">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v:textbox>
                <w10:anchorlock/>
              </v:shape>
            </w:pict>
          </mc:Fallback>
        </mc:AlternateContent>
      </w:r>
    </w:p>
    <w:p w14:paraId="1D1E8107" w14:textId="4B71BC18" w:rsidR="00D768AE" w:rsidRPr="00270C4C" w:rsidRDefault="00D768AE" w:rsidP="00270C4C">
      <w:pPr>
        <w:pStyle w:val="Heading1"/>
      </w:pPr>
      <w:bookmarkStart w:id="135" w:name="_Toc157060251"/>
      <w:r w:rsidRPr="00270C4C">
        <w:t>EBQ #6</w:t>
      </w:r>
      <w:r w:rsidR="00270C4C" w:rsidRPr="00270C4C">
        <w:t xml:space="preserve"> – </w:t>
      </w:r>
      <w:r w:rsidR="00DA478F" w:rsidRPr="00270C4C">
        <w:rPr>
          <w:i/>
          <w:iCs/>
        </w:rPr>
        <w:t>Why is spring WC use of the AHR greater than fall WC use?</w:t>
      </w:r>
      <w:bookmarkEnd w:id="135"/>
    </w:p>
    <w:p w14:paraId="596B3557" w14:textId="77777777" w:rsidR="00D768AE" w:rsidRDefault="00D768AE" w:rsidP="00562562"/>
    <w:p w14:paraId="1743FDD3" w14:textId="422CD859" w:rsidR="006C361E" w:rsidRDefault="006C361E" w:rsidP="00615E4C">
      <w:pPr>
        <w:pStyle w:val="Heading2"/>
      </w:pPr>
      <w:bookmarkStart w:id="136" w:name="_Toc155880599"/>
      <w:bookmarkStart w:id="137" w:name="_Toc157060252"/>
      <w:r>
        <w:t>2024 Assessment</w:t>
      </w:r>
      <w:r w:rsidR="00A260C4">
        <w:t>:</w:t>
      </w:r>
      <w:bookmarkEnd w:id="136"/>
      <w:bookmarkEnd w:id="137"/>
    </w:p>
    <w:p w14:paraId="266D54FB" w14:textId="2E10515A" w:rsidR="006C361E" w:rsidRDefault="00DA6544" w:rsidP="00DA6544">
      <w:pPr>
        <w:pStyle w:val="ListParagraph"/>
        <w:numPr>
          <w:ilvl w:val="0"/>
          <w:numId w:val="3"/>
        </w:numPr>
      </w:pPr>
      <w:r>
        <w:t>Delay in acquiring the cellular telemetry dataset required to address this question pushed the assessment originally scheduled for 2023 back to begin in 2024.</w:t>
      </w:r>
    </w:p>
    <w:p w14:paraId="5BA1A385" w14:textId="4EC00552" w:rsidR="00007116" w:rsidRDefault="00007116" w:rsidP="00E40550"/>
    <w:p w14:paraId="4B61E60B" w14:textId="17E4D9F7" w:rsidR="006C361E" w:rsidRDefault="006C361E" w:rsidP="00615E4C">
      <w:pPr>
        <w:pStyle w:val="Heading2"/>
      </w:pPr>
      <w:bookmarkStart w:id="138" w:name="_Toc155880600"/>
      <w:bookmarkStart w:id="139" w:name="_Toc157060253"/>
      <w:r>
        <w:t>What the science says in 2024:</w:t>
      </w:r>
      <w:bookmarkEnd w:id="138"/>
      <w:bookmarkEnd w:id="139"/>
    </w:p>
    <w:p w14:paraId="6E623822" w14:textId="403846A9" w:rsidR="00367806" w:rsidRDefault="00367806" w:rsidP="00367806">
      <w:pPr>
        <w:pStyle w:val="ListParagraph"/>
        <w:numPr>
          <w:ilvl w:val="0"/>
          <w:numId w:val="3"/>
        </w:numPr>
      </w:pPr>
      <w:r>
        <w:t>The Program typically observed greater use of the AHR during the spring migration compared to the fall migration prior to 2021 (</w:t>
      </w:r>
      <w:r w:rsidRPr="00064AFB">
        <w:rPr>
          <w:b/>
          <w:bCs/>
        </w:rPr>
        <w:t xml:space="preserve">Figure </w:t>
      </w:r>
      <w:r w:rsidR="00B8039E">
        <w:rPr>
          <w:b/>
          <w:bCs/>
        </w:rPr>
        <w:t>10</w:t>
      </w:r>
      <w:r>
        <w:t>)</w:t>
      </w:r>
      <w:r w:rsidR="00244B8F">
        <w:t xml:space="preserve">. </w:t>
      </w:r>
    </w:p>
    <w:p w14:paraId="49105E0C" w14:textId="5BEBD691" w:rsidR="00367806" w:rsidRDefault="00367806" w:rsidP="00367806">
      <w:pPr>
        <w:pStyle w:val="ListParagraph"/>
        <w:numPr>
          <w:ilvl w:val="0"/>
          <w:numId w:val="3"/>
        </w:numPr>
      </w:pPr>
      <w:r>
        <w:t>During 2007</w:t>
      </w:r>
      <w:r>
        <w:rPr>
          <w:rFonts w:cs="Calibri"/>
        </w:rPr>
        <w:t>─</w:t>
      </w:r>
      <w:r>
        <w:t>2020, the median number of crane use days was significantly higher during the spring compared to the fall migration using the nonparametric paired Wilcoxon signed rank test (</w:t>
      </w:r>
      <w:r w:rsidRPr="0083629D">
        <w:rPr>
          <w:i/>
          <w:iCs/>
        </w:rPr>
        <w:t>p</w:t>
      </w:r>
      <w:r>
        <w:t xml:space="preserve"> = 0.041)</w:t>
      </w:r>
      <w:r w:rsidR="00244B8F">
        <w:t xml:space="preserve">. </w:t>
      </w:r>
      <w:r>
        <w:t>Similarly, the mean number of crane use days was 49 days greater during spring than fall using a paired t-test (</w:t>
      </w:r>
      <w:r w:rsidRPr="00713BA3">
        <w:rPr>
          <w:i/>
          <w:iCs/>
        </w:rPr>
        <w:t>p</w:t>
      </w:r>
      <w:r>
        <w:t xml:space="preserve"> = 0.093) with 95% confidence intervals (CIs) including, but not centered on 0 (95% CI = -9.5, 108).</w:t>
      </w:r>
    </w:p>
    <w:p w14:paraId="13F4C934" w14:textId="629C7C39" w:rsidR="00367806" w:rsidRDefault="00367806" w:rsidP="00367806">
      <w:pPr>
        <w:pStyle w:val="ListParagraph"/>
        <w:numPr>
          <w:ilvl w:val="0"/>
          <w:numId w:val="3"/>
        </w:numPr>
      </w:pPr>
      <w:r>
        <w:t xml:space="preserve">There was no difference in the median proportion of the population stopping on the AHR in spring compared to fall (paired Wilcoxon signed rank test, </w:t>
      </w:r>
      <w:r w:rsidRPr="00A13AD8">
        <w:rPr>
          <w:i/>
          <w:iCs/>
        </w:rPr>
        <w:t>p</w:t>
      </w:r>
      <w:r>
        <w:t xml:space="preserve"> = 0.268) during 2007</w:t>
      </w:r>
      <w:r>
        <w:rPr>
          <w:rFonts w:cs="Calibri"/>
        </w:rPr>
        <w:t>─</w:t>
      </w:r>
      <w:r>
        <w:t>2020</w:t>
      </w:r>
      <w:r w:rsidR="00244B8F">
        <w:t xml:space="preserve">. </w:t>
      </w:r>
      <w:r>
        <w:t xml:space="preserve">Likewise, there was no difference in the mean proportion of the population stopping in spring compared to fall (paired t-test, </w:t>
      </w:r>
      <w:r w:rsidRPr="00F90A4A">
        <w:rPr>
          <w:i/>
          <w:iCs/>
        </w:rPr>
        <w:t>p</w:t>
      </w:r>
      <w:r>
        <w:t xml:space="preserve"> = 0.151) during 2007</w:t>
      </w:r>
      <w:r>
        <w:rPr>
          <w:rFonts w:cs="Calibri"/>
        </w:rPr>
        <w:t>─</w:t>
      </w:r>
      <w:r>
        <w:t>2020.</w:t>
      </w:r>
    </w:p>
    <w:p w14:paraId="30D79760" w14:textId="6388E2DF" w:rsidR="00367806" w:rsidRDefault="00367806" w:rsidP="00367806">
      <w:pPr>
        <w:pStyle w:val="ListParagraph"/>
        <w:numPr>
          <w:ilvl w:val="0"/>
          <w:numId w:val="3"/>
        </w:numPr>
      </w:pPr>
      <w:r>
        <w:t>The Program recently documented two years (2021; 2023) of record high use of the AHR during the fall migration (</w:t>
      </w:r>
      <w:r w:rsidRPr="007430F3">
        <w:t xml:space="preserve">Figure </w:t>
      </w:r>
      <w:r w:rsidR="007430F3" w:rsidRPr="007430F3">
        <w:t>8</w:t>
      </w:r>
      <w:r>
        <w:t>)</w:t>
      </w:r>
      <w:r w:rsidR="00244B8F">
        <w:t xml:space="preserve">. </w:t>
      </w:r>
      <w:r>
        <w:t xml:space="preserve">As a result of adding data from 2021 through 2023, there was no difference in either the median number of crane use days (paired Wilcoxon signed rank test, </w:t>
      </w:r>
      <w:r w:rsidRPr="00A13AD8">
        <w:rPr>
          <w:i/>
          <w:iCs/>
        </w:rPr>
        <w:t>p</w:t>
      </w:r>
      <w:r>
        <w:t xml:space="preserve"> = 0.246) or mean number of crane use days (paired t-test, </w:t>
      </w:r>
      <w:r w:rsidRPr="00F90A4A">
        <w:rPr>
          <w:i/>
          <w:iCs/>
        </w:rPr>
        <w:t>p</w:t>
      </w:r>
      <w:r>
        <w:t xml:space="preserve"> = 0.801) between spring and fall during 2007</w:t>
      </w:r>
      <w:r>
        <w:rPr>
          <w:rFonts w:cs="Calibri"/>
        </w:rPr>
        <w:t>─</w:t>
      </w:r>
      <w:r>
        <w:t>2023</w:t>
      </w:r>
      <w:r w:rsidR="00244B8F">
        <w:t xml:space="preserve">. </w:t>
      </w:r>
      <w:r>
        <w:t xml:space="preserve">Additionally, there was no difference in either the median proportion of the population stopping on the AHR (paired Wilcoxon signed rank test, </w:t>
      </w:r>
      <w:r w:rsidRPr="00A13AD8">
        <w:rPr>
          <w:i/>
          <w:iCs/>
        </w:rPr>
        <w:t>p</w:t>
      </w:r>
      <w:r>
        <w:t xml:space="preserve"> = 0.353) or mean</w:t>
      </w:r>
      <w:r w:rsidRPr="00C91C98">
        <w:t xml:space="preserve"> </w:t>
      </w:r>
      <w:r>
        <w:t xml:space="preserve">proportion of the population stopping on the AHR (paired t-test, </w:t>
      </w:r>
      <w:r w:rsidRPr="00F90A4A">
        <w:rPr>
          <w:i/>
          <w:iCs/>
        </w:rPr>
        <w:t>p</w:t>
      </w:r>
      <w:r>
        <w:t xml:space="preserve"> = 0.344) between spring and fall during 2007</w:t>
      </w:r>
      <w:r>
        <w:rPr>
          <w:rFonts w:cs="Calibri"/>
        </w:rPr>
        <w:t>─</w:t>
      </w:r>
      <w:r>
        <w:t>2023</w:t>
      </w:r>
      <w:r w:rsidR="00244B8F">
        <w:t xml:space="preserve">. </w:t>
      </w:r>
    </w:p>
    <w:p w14:paraId="24CA375F" w14:textId="475C66BB" w:rsidR="00A1518C" w:rsidRDefault="00367806" w:rsidP="00367806">
      <w:pPr>
        <w:pStyle w:val="ListParagraph"/>
        <w:numPr>
          <w:ilvl w:val="0"/>
          <w:numId w:val="3"/>
        </w:numPr>
      </w:pPr>
      <w:r>
        <w:t>The Program has not addressed the influence of flow on seasonal use of the AHR. This question will be addressed as part of the telemetry analysis once data are acquired.</w:t>
      </w:r>
    </w:p>
    <w:p w14:paraId="43A69F8F" w14:textId="77777777" w:rsidR="00367806" w:rsidRDefault="00367806" w:rsidP="00367806">
      <w:r w:rsidRPr="00DD79D2">
        <w:rPr>
          <w:rFonts w:asciiTheme="minorHAnsi" w:hAnsiTheme="minorHAnsi" w:cstheme="minorHAnsi"/>
          <w:noProof/>
        </w:rPr>
        <mc:AlternateContent>
          <mc:Choice Requires="wps">
            <w:drawing>
              <wp:anchor distT="45720" distB="45720" distL="114300" distR="114300" simplePos="0" relativeHeight="251705344" behindDoc="0" locked="0" layoutInCell="1" allowOverlap="1" wp14:anchorId="4E9B41D9" wp14:editId="353A06E9">
                <wp:simplePos x="0" y="0"/>
                <wp:positionH relativeFrom="column">
                  <wp:posOffset>712474</wp:posOffset>
                </wp:positionH>
                <wp:positionV relativeFrom="paragraph">
                  <wp:posOffset>3387284</wp:posOffset>
                </wp:positionV>
                <wp:extent cx="388620" cy="1404620"/>
                <wp:effectExtent l="0" t="0" r="0" b="0"/>
                <wp:wrapNone/>
                <wp:docPr id="471677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1404620"/>
                        </a:xfrm>
                        <a:prstGeom prst="rect">
                          <a:avLst/>
                        </a:prstGeom>
                        <a:solidFill>
                          <a:srgbClr val="FFFFFF"/>
                        </a:solidFill>
                        <a:ln w="9525">
                          <a:noFill/>
                          <a:miter lim="800000"/>
                          <a:headEnd/>
                          <a:tailEnd/>
                        </a:ln>
                      </wps:spPr>
                      <wps:txbx>
                        <w:txbxContent>
                          <w:p w14:paraId="33A6582A" w14:textId="77777777" w:rsidR="00367806" w:rsidRPr="00DD79D2" w:rsidRDefault="00367806" w:rsidP="00367806">
                            <w:pPr>
                              <w:rPr>
                                <w:b/>
                                <w:bCs/>
                                <w:sz w:val="24"/>
                                <w:szCs w:val="24"/>
                              </w:rPr>
                            </w:pPr>
                            <w:r w:rsidRPr="00DD79D2">
                              <w:rPr>
                                <w:b/>
                                <w:bCs/>
                                <w:sz w:val="24"/>
                                <w:szCs w:val="24"/>
                              </w:rPr>
                              <w:t>(</w:t>
                            </w:r>
                            <w:r>
                              <w:rPr>
                                <w:b/>
                                <w:bCs/>
                                <w:sz w:val="24"/>
                                <w:szCs w:val="24"/>
                              </w:rPr>
                              <w:t>b</w:t>
                            </w:r>
                            <w:r w:rsidRPr="00DD79D2">
                              <w:rPr>
                                <w:b/>
                                <w:bCs/>
                                <w:sz w:val="24"/>
                                <w:szCs w:val="24"/>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9B41D9" id="_x0000_s1037" type="#_x0000_t202" style="position:absolute;margin-left:56.1pt;margin-top:266.7pt;width:30.6pt;height:110.6pt;z-index:2517053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" stroked="f">
                <v:textbox style="mso-fit-shape-to-text:t">
                  <w:txbxContent>
                    <w:p w14:paraId="33A6582A" w14:textId="77777777" w:rsidR="00367806" w:rsidRPr="00DD79D2" w:rsidRDefault="00367806" w:rsidP="00367806">
                      <w:pPr>
                        <w:rPr>
                          <w:b/>
                          <w:bCs/>
                          <w:sz w:val="24"/>
                          <w:szCs w:val="24"/>
                        </w:rPr>
                      </w:pPr>
                      <w:r w:rsidRPr="00DD79D2">
                        <w:rPr>
                          <w:b/>
                          <w:bCs/>
                          <w:sz w:val="24"/>
                          <w:szCs w:val="24"/>
                        </w:rPr>
                        <w:t>(</w:t>
                      </w:r>
                      <w:r>
                        <w:rPr>
                          <w:b/>
                          <w:bCs/>
                          <w:sz w:val="24"/>
                          <w:szCs w:val="24"/>
                        </w:rPr>
                        <w:t>b</w:t>
                      </w:r>
                      <w:r w:rsidRPr="00DD79D2">
                        <w:rPr>
                          <w:b/>
                          <w:bCs/>
                          <w:sz w:val="24"/>
                          <w:szCs w:val="24"/>
                        </w:rPr>
                        <w:t>)</w:t>
                      </w:r>
                    </w:p>
                  </w:txbxContent>
                </v:textbox>
              </v:shape>
            </w:pict>
          </mc:Fallback>
        </mc:AlternateContent>
      </w:r>
      <w:r w:rsidRPr="00DD79D2">
        <w:rPr>
          <w:rFonts w:asciiTheme="minorHAnsi" w:hAnsiTheme="minorHAnsi" w:cstheme="minorHAnsi"/>
          <w:noProof/>
        </w:rPr>
        <mc:AlternateContent>
          <mc:Choice Requires="wps">
            <w:drawing>
              <wp:anchor distT="45720" distB="45720" distL="114300" distR="114300" simplePos="0" relativeHeight="251704320" behindDoc="0" locked="0" layoutInCell="1" allowOverlap="1" wp14:anchorId="0E27F3C3" wp14:editId="2DBF2E86">
                <wp:simplePos x="0" y="0"/>
                <wp:positionH relativeFrom="column">
                  <wp:posOffset>764712</wp:posOffset>
                </wp:positionH>
                <wp:positionV relativeFrom="paragraph">
                  <wp:posOffset>140089</wp:posOffset>
                </wp:positionV>
                <wp:extent cx="388620" cy="1404620"/>
                <wp:effectExtent l="0" t="0" r="0" b="0"/>
                <wp:wrapNone/>
                <wp:docPr id="10633756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1404620"/>
                        </a:xfrm>
                        <a:prstGeom prst="rect">
                          <a:avLst/>
                        </a:prstGeom>
                        <a:solidFill>
                          <a:srgbClr val="FFFFFF"/>
                        </a:solidFill>
                        <a:ln w="9525">
                          <a:noFill/>
                          <a:miter lim="800000"/>
                          <a:headEnd/>
                          <a:tailEnd/>
                        </a:ln>
                      </wps:spPr>
                      <wps:txbx>
                        <w:txbxContent>
                          <w:p w14:paraId="4A1F3BE5" w14:textId="77777777" w:rsidR="00367806" w:rsidRPr="00DD79D2" w:rsidRDefault="00367806" w:rsidP="00367806">
                            <w:pPr>
                              <w:rPr>
                                <w:b/>
                                <w:bCs/>
                                <w:sz w:val="24"/>
                                <w:szCs w:val="24"/>
                              </w:rPr>
                            </w:pPr>
                            <w:r w:rsidRPr="00DD79D2">
                              <w:rPr>
                                <w:b/>
                                <w:bCs/>
                                <w:sz w:val="24"/>
                                <w:szCs w:val="24"/>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27F3C3" id="_x0000_s1038" type="#_x0000_t202" style="position:absolute;margin-left:60.2pt;margin-top:11.05pt;width:30.6pt;height:110.6pt;z-index:251704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" stroked="f">
                <v:textbox style="mso-fit-shape-to-text:t">
                  <w:txbxContent>
                    <w:p w14:paraId="4A1F3BE5" w14:textId="77777777" w:rsidR="00367806" w:rsidRPr="00DD79D2" w:rsidRDefault="00367806" w:rsidP="00367806">
                      <w:pPr>
                        <w:rPr>
                          <w:b/>
                          <w:bCs/>
                          <w:sz w:val="24"/>
                          <w:szCs w:val="24"/>
                        </w:rPr>
                      </w:pPr>
                      <w:r w:rsidRPr="00DD79D2">
                        <w:rPr>
                          <w:b/>
                          <w:bCs/>
                          <w:sz w:val="24"/>
                          <w:szCs w:val="24"/>
                        </w:rPr>
                        <w:t>(a)</w:t>
                      </w:r>
                    </w:p>
                  </w:txbxContent>
                </v:textbox>
              </v:shape>
            </w:pict>
          </mc:Fallback>
        </mc:AlternateContent>
      </w:r>
      <w:r>
        <w:rPr>
          <w:noProof/>
        </w:rPr>
        <w:drawing>
          <wp:inline distT="0" distB="0" distL="0" distR="0" wp14:anchorId="1A688461" wp14:editId="36AB2B78">
            <wp:extent cx="5943600" cy="3241076"/>
            <wp:effectExtent l="0" t="0" r="0" b="0"/>
            <wp:docPr id="1599678957" name="Chart 1">
              <a:extLst xmlns:a="http://schemas.openxmlformats.org/drawingml/2006/main">
                <a:ext uri="{FF2B5EF4-FFF2-40B4-BE49-F238E27FC236}">
                  <a16:creationId xmlns:a16="http://schemas.microsoft.com/office/drawing/2014/main" id="{6AC78A5C-F051-4BF3-AB98-4CA2B7C8F2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noProof/>
        </w:rPr>
        <w:drawing>
          <wp:inline distT="0" distB="0" distL="0" distR="0" wp14:anchorId="5FAF7734" wp14:editId="697CF335">
            <wp:extent cx="5943600" cy="3377748"/>
            <wp:effectExtent l="0" t="0" r="0" b="0"/>
            <wp:docPr id="1313063904" name="Chart 1">
              <a:extLst xmlns:a="http://schemas.openxmlformats.org/drawingml/2006/main">
                <a:ext uri="{FF2B5EF4-FFF2-40B4-BE49-F238E27FC236}">
                  <a16:creationId xmlns:a16="http://schemas.microsoft.com/office/drawing/2014/main" id="{A7820538-4ADE-9952-E87C-8AEBE0C6D5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3EDE93E" w14:textId="61C5D86F" w:rsidR="00D37A36" w:rsidRDefault="00367806">
      <w:pPr>
        <w:rPr>
          <w:rFonts w:asciiTheme="minorHAnsi" w:hAnsiTheme="minorHAnsi" w:cstheme="minorHAnsi"/>
          <w:sz w:val="18"/>
          <w:szCs w:val="18"/>
        </w:rPr>
      </w:pPr>
      <w:r w:rsidRPr="007430F3">
        <w:rPr>
          <w:b/>
          <w:bCs/>
          <w:sz w:val="18"/>
          <w:szCs w:val="18"/>
        </w:rPr>
        <w:t xml:space="preserve">Figure </w:t>
      </w:r>
      <w:r w:rsidR="00B8039E">
        <w:rPr>
          <w:b/>
          <w:bCs/>
          <w:sz w:val="18"/>
          <w:szCs w:val="18"/>
        </w:rPr>
        <w:t>10</w:t>
      </w:r>
      <w:r w:rsidR="00244B8F" w:rsidRPr="007430F3">
        <w:rPr>
          <w:b/>
          <w:bCs/>
          <w:sz w:val="18"/>
          <w:szCs w:val="18"/>
        </w:rPr>
        <w:t>.</w:t>
      </w:r>
      <w:r w:rsidR="00244B8F" w:rsidRPr="00D37A36">
        <w:rPr>
          <w:sz w:val="18"/>
          <w:szCs w:val="18"/>
        </w:rPr>
        <w:t xml:space="preserve"> </w:t>
      </w:r>
      <w:r w:rsidRPr="00D37A36">
        <w:rPr>
          <w:rFonts w:asciiTheme="minorHAnsi" w:hAnsiTheme="minorHAnsi" w:cstheme="minorHAnsi"/>
          <w:sz w:val="18"/>
          <w:szCs w:val="18"/>
        </w:rPr>
        <w:t>Annual variability in the (a) proportion of the AWB migratory whooping crane population that stopped on the Associated Habitat Reach of the central Platte River during spring and fall between 2007 and 2023, and (b) number of crane use days during the spring and fall migrations between 2007 and 2023</w:t>
      </w:r>
      <w:r w:rsidR="00244B8F" w:rsidRPr="00D37A36">
        <w:rPr>
          <w:rFonts w:asciiTheme="minorHAnsi" w:hAnsiTheme="minorHAnsi" w:cstheme="minorHAnsi"/>
          <w:sz w:val="18"/>
          <w:szCs w:val="18"/>
        </w:rPr>
        <w:t xml:space="preserve">. </w:t>
      </w:r>
      <w:r w:rsidRPr="00D37A36">
        <w:rPr>
          <w:rFonts w:asciiTheme="minorHAnsi" w:hAnsiTheme="minorHAnsi" w:cstheme="minorHAnsi"/>
          <w:sz w:val="18"/>
          <w:szCs w:val="18"/>
        </w:rPr>
        <w:t>Counts are adjusted to provide the proportion of the population and number of crane use days calculated only for dates constrained by the 5</w:t>
      </w:r>
      <w:r w:rsidRPr="00D37A36">
        <w:rPr>
          <w:rFonts w:asciiTheme="minorHAnsi" w:hAnsiTheme="minorHAnsi" w:cstheme="minorHAnsi"/>
          <w:sz w:val="18"/>
          <w:szCs w:val="18"/>
          <w:vertAlign w:val="superscript"/>
        </w:rPr>
        <w:t>th</w:t>
      </w:r>
      <w:r w:rsidRPr="00D37A36">
        <w:rPr>
          <w:rFonts w:asciiTheme="minorHAnsi" w:hAnsiTheme="minorHAnsi" w:cstheme="minorHAnsi"/>
          <w:sz w:val="18"/>
          <w:szCs w:val="18"/>
        </w:rPr>
        <w:t xml:space="preserve"> and 95</w:t>
      </w:r>
      <w:r w:rsidRPr="00D37A36">
        <w:rPr>
          <w:rFonts w:asciiTheme="minorHAnsi" w:hAnsiTheme="minorHAnsi" w:cstheme="minorHAnsi"/>
          <w:sz w:val="18"/>
          <w:szCs w:val="18"/>
          <w:vertAlign w:val="superscript"/>
        </w:rPr>
        <w:t>th</w:t>
      </w:r>
      <w:r w:rsidRPr="00D37A36">
        <w:rPr>
          <w:rFonts w:asciiTheme="minorHAnsi" w:hAnsiTheme="minorHAnsi" w:cstheme="minorHAnsi"/>
          <w:sz w:val="18"/>
          <w:szCs w:val="18"/>
        </w:rPr>
        <w:t xml:space="preserve"> percentiles of dates of spring and fall whooping crane group observations in Nebraska.</w:t>
      </w:r>
      <w:r w:rsidR="00D37A36">
        <w:rPr>
          <w:rFonts w:asciiTheme="minorHAnsi" w:hAnsiTheme="minorHAnsi" w:cstheme="minorHAnsi"/>
          <w:sz w:val="18"/>
          <w:szCs w:val="18"/>
        </w:rPr>
        <w:br w:type="page"/>
      </w:r>
    </w:p>
    <w:p w14:paraId="268C4133" w14:textId="77777777" w:rsidR="006C361E" w:rsidRDefault="006C361E" w:rsidP="00615E4C">
      <w:pPr>
        <w:pStyle w:val="Heading2"/>
      </w:pPr>
      <w:bookmarkStart w:id="140" w:name="_Toc155880601"/>
      <w:bookmarkStart w:id="141" w:name="_Toc157060254"/>
      <w:r w:rsidRPr="007430F3">
        <w:t>We estimate with confidence that:</w:t>
      </w:r>
      <w:bookmarkEnd w:id="140"/>
      <w:bookmarkEnd w:id="141"/>
    </w:p>
    <w:p w14:paraId="6DAE19F1" w14:textId="72AA6518" w:rsidR="006C361E" w:rsidRDefault="007430F3" w:rsidP="007430F3">
      <w:pPr>
        <w:pStyle w:val="ListParagraph"/>
        <w:numPr>
          <w:ilvl w:val="0"/>
          <w:numId w:val="3"/>
        </w:numPr>
      </w:pPr>
      <w:r>
        <w:t>Better addressed once the WC telemetry data is in hand and the EDO can complete data analysis in a manner that addresses this EBQ.</w:t>
      </w:r>
    </w:p>
    <w:p w14:paraId="028EAB82" w14:textId="77777777" w:rsidR="00BB6AA5" w:rsidRDefault="00BB6AA5" w:rsidP="006C361E"/>
    <w:p w14:paraId="4B261947" w14:textId="726FAB8E" w:rsidR="006C361E" w:rsidRDefault="006C361E" w:rsidP="00615E4C">
      <w:pPr>
        <w:pStyle w:val="Heading2"/>
      </w:pPr>
      <w:bookmarkStart w:id="142" w:name="_Toc155880602"/>
      <w:bookmarkStart w:id="143" w:name="_Toc157060255"/>
      <w:r>
        <w:t>Answering EBQ #</w:t>
      </w:r>
      <w:r w:rsidR="00A260C4">
        <w:t>6</w:t>
      </w:r>
      <w:r>
        <w:t xml:space="preserve"> during the Extension:</w:t>
      </w:r>
      <w:bookmarkEnd w:id="142"/>
      <w:bookmarkEnd w:id="143"/>
    </w:p>
    <w:p w14:paraId="3541F059" w14:textId="6DB1AEBD" w:rsidR="00007116" w:rsidRDefault="00007116" w:rsidP="00007116">
      <w:pPr>
        <w:pStyle w:val="ListParagraph"/>
        <w:numPr>
          <w:ilvl w:val="0"/>
          <w:numId w:val="3"/>
        </w:numPr>
      </w:pPr>
      <w:r>
        <w:t>T</w:t>
      </w:r>
      <w:r w:rsidRPr="002750A5">
        <w:t xml:space="preserve">his will be investigated as a desktop exercise utilizing PRRIP monitoring data and telemetry data to further explore the effects of flow on WC </w:t>
      </w:r>
      <w:r>
        <w:t>use of the</w:t>
      </w:r>
      <w:r w:rsidRPr="002750A5">
        <w:t xml:space="preserve"> AHR</w:t>
      </w:r>
      <w:r>
        <w:t xml:space="preserve"> in the spring vs. fall</w:t>
      </w:r>
      <w:r w:rsidRPr="002750A5">
        <w:t>.</w:t>
      </w:r>
    </w:p>
    <w:p w14:paraId="7ADDED4A" w14:textId="77777777" w:rsidR="00C115D2" w:rsidRDefault="00C115D2" w:rsidP="00C115D2">
      <w:pPr>
        <w:pStyle w:val="ListParagraph"/>
        <w:numPr>
          <w:ilvl w:val="0"/>
          <w:numId w:val="3"/>
        </w:numPr>
      </w:pPr>
      <w:r>
        <w:t>We estimate receiving a cellular telemetry dataset by February of 2024 with data analysis being completed by early 2025.</w:t>
      </w:r>
    </w:p>
    <w:p w14:paraId="0FA493D6" w14:textId="4E3C4552" w:rsidR="006C361E" w:rsidRDefault="00C115D2" w:rsidP="00C115D2">
      <w:pPr>
        <w:pStyle w:val="ListParagraph"/>
        <w:numPr>
          <w:ilvl w:val="0"/>
          <w:numId w:val="3"/>
        </w:numPr>
      </w:pPr>
      <w:r>
        <w:t>Second round of evaluation scheduled for 2027</w:t>
      </w:r>
    </w:p>
    <w:p w14:paraId="17753DEF" w14:textId="77777777" w:rsidR="00BB6AA5" w:rsidRDefault="00BB6AA5" w:rsidP="006C361E"/>
    <w:p w14:paraId="147779FA" w14:textId="15AF8FC7" w:rsidR="00345CC1" w:rsidRDefault="006C361E" w:rsidP="00615E4C">
      <w:pPr>
        <w:pStyle w:val="Heading2"/>
      </w:pPr>
      <w:bookmarkStart w:id="144" w:name="_Toc155880603"/>
      <w:bookmarkStart w:id="145" w:name="_Toc157060256"/>
      <w:r>
        <w:t>Management implications:</w:t>
      </w:r>
      <w:bookmarkEnd w:id="144"/>
      <w:bookmarkEnd w:id="145"/>
    </w:p>
    <w:p w14:paraId="26858E81" w14:textId="3C39932C" w:rsidR="00652E26" w:rsidRDefault="00652E26" w:rsidP="00652E26">
      <w:pPr>
        <w:pStyle w:val="ListParagraph"/>
        <w:numPr>
          <w:ilvl w:val="0"/>
          <w:numId w:val="3"/>
        </w:numPr>
      </w:pPr>
      <w:r>
        <w:t>I</w:t>
      </w:r>
      <w:r w:rsidRPr="002750A5">
        <w:t>f desktop analyses demonstrate flow to be important for</w:t>
      </w:r>
      <w:r>
        <w:t xml:space="preserve"> explaining differences in WC use of the AHR</w:t>
      </w:r>
      <w:r w:rsidRPr="002750A5">
        <w:t xml:space="preserve">, the Program </w:t>
      </w:r>
      <w:r>
        <w:t>may</w:t>
      </w:r>
      <w:r w:rsidRPr="002750A5">
        <w:t xml:space="preserve"> move toward a management hypothesis and perform flow experiments on the ground as water is available to test WC response to </w:t>
      </w:r>
      <w:r>
        <w:t xml:space="preserve">spring vs. fall </w:t>
      </w:r>
      <w:r w:rsidRPr="002750A5">
        <w:t>flows, starting by filling data gaps for WC tolerance to low flows.</w:t>
      </w:r>
    </w:p>
    <w:p w14:paraId="57AC6BAD" w14:textId="75AD7E58" w:rsidR="00C115D2" w:rsidRPr="0010043E" w:rsidRDefault="00C115D2" w:rsidP="00C115D2">
      <w:pPr>
        <w:pStyle w:val="ListParagraph"/>
        <w:numPr>
          <w:ilvl w:val="0"/>
          <w:numId w:val="3"/>
        </w:numPr>
        <w:rPr>
          <w:szCs w:val="24"/>
        </w:rPr>
      </w:pPr>
      <w:r w:rsidRPr="001C0186">
        <w:rPr>
          <w:rFonts w:cstheme="minorHAnsi"/>
        </w:rPr>
        <w:t>Information on the relative importance of factors the Program can control (flow, channel width) compared to those it cannot (</w:t>
      </w:r>
      <w:r w:rsidR="009A14F0">
        <w:rPr>
          <w:rFonts w:cstheme="minorHAnsi"/>
        </w:rPr>
        <w:t xml:space="preserve">staging prior to encountering the AHR, conditions at </w:t>
      </w:r>
      <w:r w:rsidR="008057E1">
        <w:rPr>
          <w:rFonts w:cstheme="minorHAnsi"/>
        </w:rPr>
        <w:t xml:space="preserve">prior stopovers, </w:t>
      </w:r>
      <w:r w:rsidRPr="001C0186">
        <w:rPr>
          <w:rFonts w:cstheme="minorHAnsi"/>
        </w:rPr>
        <w:t xml:space="preserve">weather, </w:t>
      </w:r>
      <w:r w:rsidR="008057E1">
        <w:rPr>
          <w:rFonts w:cstheme="minorHAnsi"/>
        </w:rPr>
        <w:t>group composition, associations with sandhills</w:t>
      </w:r>
      <w:r w:rsidRPr="001C0186">
        <w:rPr>
          <w:rFonts w:cstheme="minorHAnsi"/>
        </w:rPr>
        <w:t xml:space="preserve">) can be used to help predict </w:t>
      </w:r>
      <w:r>
        <w:rPr>
          <w:rFonts w:cstheme="minorHAnsi"/>
        </w:rPr>
        <w:t>changes in</w:t>
      </w:r>
      <w:r w:rsidRPr="001C0186">
        <w:rPr>
          <w:rFonts w:cstheme="minorHAnsi"/>
        </w:rPr>
        <w:t xml:space="preserve"> WC use </w:t>
      </w:r>
      <w:r>
        <w:rPr>
          <w:rFonts w:cstheme="minorHAnsi"/>
        </w:rPr>
        <w:t xml:space="preserve">of the Program AHR </w:t>
      </w:r>
      <w:r w:rsidRPr="001C0186">
        <w:rPr>
          <w:rFonts w:cstheme="minorHAnsi"/>
        </w:rPr>
        <w:t xml:space="preserve">that </w:t>
      </w:r>
      <w:r>
        <w:rPr>
          <w:rFonts w:cstheme="minorHAnsi"/>
        </w:rPr>
        <w:t>might be</w:t>
      </w:r>
      <w:r w:rsidRPr="001C0186">
        <w:rPr>
          <w:rFonts w:cstheme="minorHAnsi"/>
        </w:rPr>
        <w:t xml:space="preserve"> expected in response to </w:t>
      </w:r>
      <w:r>
        <w:rPr>
          <w:rFonts w:cstheme="minorHAnsi"/>
        </w:rPr>
        <w:t xml:space="preserve">Second Increment management </w:t>
      </w:r>
      <w:r w:rsidRPr="001C0186">
        <w:rPr>
          <w:rFonts w:cstheme="minorHAnsi"/>
        </w:rPr>
        <w:t>alternative</w:t>
      </w:r>
      <w:r>
        <w:rPr>
          <w:rFonts w:cstheme="minorHAnsi"/>
        </w:rPr>
        <w:t>s as part of a structured decision-making process.</w:t>
      </w:r>
    </w:p>
    <w:p w14:paraId="4451EE75" w14:textId="2CF9B89F" w:rsidR="00345CC1" w:rsidRPr="00345CC1" w:rsidRDefault="00345CC1" w:rsidP="00345CC1">
      <w:pPr>
        <w:sectPr w:rsidR="00345CC1" w:rsidRPr="00345CC1" w:rsidSect="005B280F">
          <w:pgSz w:w="12240" w:h="15840"/>
          <w:pgMar w:top="1440" w:right="1440" w:bottom="1440" w:left="1440" w:header="720" w:footer="720" w:gutter="0"/>
          <w:lnNumType w:countBy="1" w:restart="newSection"/>
          <w:cols w:space="720"/>
          <w:docGrid w:linePitch="360"/>
        </w:sectPr>
      </w:pPr>
    </w:p>
    <w:p w14:paraId="6BB8B64E" w14:textId="7EFE80BB" w:rsidR="00A72A38" w:rsidRDefault="00A72A38" w:rsidP="00A72A38">
      <w:pPr>
        <w:pStyle w:val="NoSpacing"/>
      </w:pPr>
      <w:r>
        <w:rPr>
          <w:noProof/>
        </w:rPr>
        <mc:AlternateContent>
          <mc:Choice Requires="wps">
            <w:drawing>
              <wp:inline distT="0" distB="0" distL="0" distR="0" wp14:anchorId="049D7488" wp14:editId="03626C6B">
                <wp:extent cx="5905500" cy="1404620"/>
                <wp:effectExtent l="0" t="0" r="19050" b="14605"/>
                <wp:docPr id="12299061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404620"/>
                        </a:xfrm>
                        <a:prstGeom prst="rect">
                          <a:avLst/>
                        </a:prstGeom>
                        <a:solidFill>
                          <a:srgbClr val="70AD47">
                            <a:lumMod val="60000"/>
                            <a:lumOff val="40000"/>
                          </a:srgbClr>
                        </a:solidFill>
                        <a:ln w="9525">
                          <a:solidFill>
                            <a:srgbClr val="000000"/>
                          </a:solidFill>
                          <a:miter lim="800000"/>
                          <a:headEnd/>
                          <a:tailEnd/>
                        </a:ln>
                      </wps:spPr>
                      <wps:txbx>
                        <w:txbxContent>
                          <w:p w14:paraId="4ADEDE09" w14:textId="77777777" w:rsidR="00A72A38" w:rsidRPr="00DE40BA" w:rsidRDefault="00A72A38" w:rsidP="00A72A38">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wps:txbx>
                      <wps:bodyPr rot="0" vert="horz" wrap="square" lIns="91440" tIns="45720" rIns="91440" bIns="45720" anchor="t" anchorCtr="0">
                        <a:spAutoFit/>
                      </wps:bodyPr>
                    </wps:wsp>
                  </a:graphicData>
                </a:graphic>
              </wp:inline>
            </w:drawing>
          </mc:Choice>
          <mc:Fallback>
            <w:pict>
              <v:shape w14:anchorId="049D7488" id="_x0000_s1039" type="#_x0000_t202" style="width:4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" fillcolor="#a9d18e">
                <v:textbox style="mso-fit-shape-to-text:t">
                  <w:txbxContent>
                    <w:p w14:paraId="4ADEDE09" w14:textId="77777777" w:rsidR="00A72A38" w:rsidRPr="00DE40BA" w:rsidRDefault="00A72A38" w:rsidP="00A72A38">
                      <w:pPr>
                        <w:jc w:val="center"/>
                        <w:rPr>
                          <w:b/>
                          <w:bCs/>
                          <w:color w:val="000000" w:themeColor="text1"/>
                          <w:sz w:val="18"/>
                          <w:szCs w:val="18"/>
                          <w:shd w:val="clear" w:color="auto" w:fill="A8D08D" w:themeFill="accent6" w:themeFillTint="99"/>
                        </w:rPr>
                      </w:pPr>
                      <w:r w:rsidRPr="00DE40BA">
                        <w:rPr>
                          <w:b/>
                          <w:bCs/>
                          <w:color w:val="000000" w:themeColor="text1"/>
                          <w:sz w:val="18"/>
                          <w:szCs w:val="18"/>
                          <w:shd w:val="clear" w:color="auto" w:fill="A8D08D" w:themeFill="accent6" w:themeFillTint="99"/>
                        </w:rPr>
                        <w:t>Extension Science Priority – Active Learning</w:t>
                      </w:r>
                    </w:p>
                  </w:txbxContent>
                </v:textbox>
                <w10:anchorlock/>
              </v:shape>
            </w:pict>
          </mc:Fallback>
        </mc:AlternateContent>
      </w:r>
    </w:p>
    <w:p w14:paraId="54FC8CA2" w14:textId="1C042933" w:rsidR="00D768AE" w:rsidRPr="00A72A38" w:rsidRDefault="00D768AE" w:rsidP="00A72A38">
      <w:pPr>
        <w:pStyle w:val="Heading1"/>
      </w:pPr>
      <w:bookmarkStart w:id="146" w:name="_Toc157060257"/>
      <w:r w:rsidRPr="00A72A38">
        <w:t>EBQ #7</w:t>
      </w:r>
      <w:r w:rsidR="00A72A38" w:rsidRPr="00A72A38">
        <w:t xml:space="preserve"> – </w:t>
      </w:r>
      <w:r w:rsidR="00812266" w:rsidRPr="00A72A38">
        <w:rPr>
          <w:i/>
          <w:iCs/>
        </w:rPr>
        <w:t xml:space="preserve">What effect do Program flow management actions to benefit </w:t>
      </w:r>
      <w:r w:rsidR="002B5FA5">
        <w:rPr>
          <w:i/>
          <w:iCs/>
        </w:rPr>
        <w:t>WC</w:t>
      </w:r>
      <w:r w:rsidR="00812266" w:rsidRPr="00A72A38">
        <w:rPr>
          <w:i/>
          <w:iCs/>
        </w:rPr>
        <w:t xml:space="preserve">, </w:t>
      </w:r>
      <w:r w:rsidR="002B5FA5">
        <w:rPr>
          <w:i/>
          <w:iCs/>
        </w:rPr>
        <w:t>PP</w:t>
      </w:r>
      <w:r w:rsidR="00812266" w:rsidRPr="00A72A38">
        <w:rPr>
          <w:i/>
          <w:iCs/>
        </w:rPr>
        <w:t xml:space="preserve">, and </w:t>
      </w:r>
      <w:r w:rsidR="002B5FA5">
        <w:rPr>
          <w:i/>
          <w:iCs/>
        </w:rPr>
        <w:t>LT</w:t>
      </w:r>
      <w:r w:rsidR="00812266" w:rsidRPr="00A72A38">
        <w:rPr>
          <w:i/>
          <w:iCs/>
        </w:rPr>
        <w:t xml:space="preserve"> in the central Platte River</w:t>
      </w:r>
      <w:r w:rsidR="009C136D">
        <w:rPr>
          <w:i/>
          <w:iCs/>
        </w:rPr>
        <w:t xml:space="preserve"> (CPR)</w:t>
      </w:r>
      <w:r w:rsidR="00812266" w:rsidRPr="00A72A38">
        <w:rPr>
          <w:i/>
          <w:iCs/>
        </w:rPr>
        <w:t xml:space="preserve"> have on </w:t>
      </w:r>
      <w:r w:rsidR="002B5FA5">
        <w:rPr>
          <w:i/>
          <w:iCs/>
        </w:rPr>
        <w:t>PS</w:t>
      </w:r>
      <w:r w:rsidR="00812266" w:rsidRPr="00A72A38">
        <w:rPr>
          <w:i/>
          <w:iCs/>
        </w:rPr>
        <w:t xml:space="preserve"> use of the lower Platte River</w:t>
      </w:r>
      <w:r w:rsidR="009C136D">
        <w:rPr>
          <w:i/>
          <w:iCs/>
        </w:rPr>
        <w:t xml:space="preserve"> (LPR)</w:t>
      </w:r>
      <w:r w:rsidR="00812266" w:rsidRPr="00A72A38">
        <w:rPr>
          <w:i/>
          <w:iCs/>
        </w:rPr>
        <w:t>?</w:t>
      </w:r>
      <w:bookmarkEnd w:id="146"/>
    </w:p>
    <w:p w14:paraId="3799FB41" w14:textId="2BBFC53D" w:rsidR="00D768AE" w:rsidRDefault="00D768AE" w:rsidP="00562562"/>
    <w:p w14:paraId="5D8585FD" w14:textId="7FFFDF44" w:rsidR="006C361E" w:rsidRDefault="006C361E" w:rsidP="00615E4C">
      <w:pPr>
        <w:pStyle w:val="Heading2"/>
      </w:pPr>
      <w:bookmarkStart w:id="147" w:name="_Toc155880605"/>
      <w:bookmarkStart w:id="148" w:name="_Toc157060258"/>
      <w:r>
        <w:t>2024 Assessment</w:t>
      </w:r>
      <w:r w:rsidR="00A260C4">
        <w:t>:</w:t>
      </w:r>
      <w:bookmarkEnd w:id="147"/>
      <w:bookmarkEnd w:id="148"/>
    </w:p>
    <w:p w14:paraId="71DEF365" w14:textId="7C2C22E7" w:rsidR="00D25BE3" w:rsidRDefault="00D25BE3" w:rsidP="00D25BE3">
      <w:pPr>
        <w:pStyle w:val="ListParagraph"/>
        <w:numPr>
          <w:ilvl w:val="0"/>
          <w:numId w:val="3"/>
        </w:numPr>
      </w:pPr>
      <w:r>
        <w:t>The Program is working its way through the Pallid Sturgeon Framing</w:t>
      </w:r>
      <w:r w:rsidR="00D927A9">
        <w:t xml:space="preserve"> Document and is actively engaged in </w:t>
      </w:r>
      <w:r>
        <w:t>two research collaborations in 2022 to gather more information on pallid sturgeon</w:t>
      </w:r>
      <w:r w:rsidR="002B5FA5">
        <w:t xml:space="preserve"> (PS)</w:t>
      </w:r>
      <w:r>
        <w:t xml:space="preserve"> habitat in the lower Platte River (</w:t>
      </w:r>
      <w:r w:rsidR="007E7B71">
        <w:t>University of Nebraska</w:t>
      </w:r>
      <w:r w:rsidR="00AF4C03">
        <w:t>,</w:t>
      </w:r>
      <w:r w:rsidR="007E7B71">
        <w:t xml:space="preserve"> Lincoln, </w:t>
      </w:r>
      <w:r>
        <w:t xml:space="preserve">UNL) and to establish new genetic baselines for </w:t>
      </w:r>
      <w:r w:rsidR="002B5FA5">
        <w:t>PS</w:t>
      </w:r>
      <w:r>
        <w:t xml:space="preserve"> species identification and hybridization (</w:t>
      </w:r>
      <w:r w:rsidR="007E7B71">
        <w:t>Southern Illinois University</w:t>
      </w:r>
      <w:r w:rsidR="00AF4C03">
        <w:t>,</w:t>
      </w:r>
      <w:r w:rsidR="007E7B71">
        <w:t xml:space="preserve"> Carbondale, </w:t>
      </w:r>
      <w:r>
        <w:t>SIU).</w:t>
      </w:r>
    </w:p>
    <w:p w14:paraId="299D3FE3" w14:textId="77777777" w:rsidR="00BB6AA5" w:rsidRDefault="00BB6AA5" w:rsidP="006C361E"/>
    <w:p w14:paraId="437E654F" w14:textId="34468086" w:rsidR="006C361E" w:rsidRDefault="006C361E" w:rsidP="00615E4C">
      <w:pPr>
        <w:pStyle w:val="Heading2"/>
      </w:pPr>
      <w:bookmarkStart w:id="149" w:name="_Toc155880606"/>
      <w:bookmarkStart w:id="150" w:name="_Toc157060259"/>
      <w:r>
        <w:t>What the science says in 2024:</w:t>
      </w:r>
      <w:bookmarkEnd w:id="149"/>
      <w:bookmarkEnd w:id="150"/>
    </w:p>
    <w:p w14:paraId="3C8967E6" w14:textId="58A0EE2B" w:rsidR="007E7B71" w:rsidRPr="007E7B71" w:rsidRDefault="00851764" w:rsidP="007E7B71">
      <w:pPr>
        <w:rPr>
          <w:b/>
          <w:bCs/>
          <w:i/>
          <w:iCs/>
        </w:rPr>
      </w:pPr>
      <w:r>
        <w:rPr>
          <w:noProof/>
        </w:rPr>
        <w:drawing>
          <wp:anchor distT="0" distB="0" distL="114300" distR="114300" simplePos="0" relativeHeight="251676672" behindDoc="0" locked="0" layoutInCell="1" allowOverlap="1" wp14:anchorId="3BA01110" wp14:editId="02C6E27F">
            <wp:simplePos x="0" y="0"/>
            <wp:positionH relativeFrom="column">
              <wp:posOffset>2553335</wp:posOffset>
            </wp:positionH>
            <wp:positionV relativeFrom="paragraph">
              <wp:posOffset>82262</wp:posOffset>
            </wp:positionV>
            <wp:extent cx="3371850" cy="2535555"/>
            <wp:effectExtent l="0" t="0" r="0" b="0"/>
            <wp:wrapSquare wrapText="bothSides"/>
            <wp:docPr id="11656617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71850" cy="2535555"/>
                    </a:xfrm>
                    <a:prstGeom prst="rect">
                      <a:avLst/>
                    </a:prstGeom>
                    <a:noFill/>
                  </pic:spPr>
                </pic:pic>
              </a:graphicData>
            </a:graphic>
            <wp14:sizeRelH relativeFrom="margin">
              <wp14:pctWidth>0</wp14:pctWidth>
            </wp14:sizeRelH>
            <wp14:sizeRelV relativeFrom="margin">
              <wp14:pctHeight>0</wp14:pctHeight>
            </wp14:sizeRelV>
          </wp:anchor>
        </w:drawing>
      </w:r>
      <w:r w:rsidR="007E7B71" w:rsidRPr="007E7B71">
        <w:rPr>
          <w:b/>
          <w:bCs/>
          <w:i/>
          <w:iCs/>
        </w:rPr>
        <w:t>UNL Habitat and Spawning Research</w:t>
      </w:r>
    </w:p>
    <w:p w14:paraId="512C8FCC" w14:textId="43A5243F" w:rsidR="00D927A9" w:rsidRDefault="00D927A9" w:rsidP="007B4F6A">
      <w:pPr>
        <w:pStyle w:val="ListParagraph"/>
        <w:numPr>
          <w:ilvl w:val="0"/>
          <w:numId w:val="3"/>
        </w:numPr>
      </w:pPr>
      <w:r>
        <w:t>Ninety-</w:t>
      </w:r>
      <w:r w:rsidR="0078517E">
        <w:t>four</w:t>
      </w:r>
      <w:r w:rsidR="005234EC">
        <w:t xml:space="preserve"> </w:t>
      </w:r>
      <w:r w:rsidR="002B5FA5">
        <w:t>PS</w:t>
      </w:r>
      <w:r>
        <w:t xml:space="preserve"> have been documented in the lower Platte River system and its tributaries in 2022-2023.</w:t>
      </w:r>
    </w:p>
    <w:p w14:paraId="7BCD0F98" w14:textId="20D22208" w:rsidR="0078517E" w:rsidRDefault="0078517E" w:rsidP="0078517E">
      <w:pPr>
        <w:pStyle w:val="ListParagraph"/>
        <w:numPr>
          <w:ilvl w:val="0"/>
          <w:numId w:val="3"/>
        </w:numPr>
      </w:pPr>
      <w:r w:rsidRPr="0078517E">
        <w:t xml:space="preserve">Seasonality of movement into (immigration) the lower Platte River appears evident and may be greatest during spring and fall. </w:t>
      </w:r>
      <w:r>
        <w:t>Initial m</w:t>
      </w:r>
      <w:r w:rsidRPr="0078517E">
        <w:t>odel results suggest discharge and temperature may also influence immigration.</w:t>
      </w:r>
    </w:p>
    <w:p w14:paraId="395B5926" w14:textId="77777777" w:rsidR="0078517E" w:rsidRPr="0078517E" w:rsidRDefault="0078517E" w:rsidP="0078517E">
      <w:pPr>
        <w:pStyle w:val="ListParagraph"/>
        <w:numPr>
          <w:ilvl w:val="0"/>
          <w:numId w:val="3"/>
        </w:numPr>
      </w:pPr>
      <w:r w:rsidRPr="0078517E">
        <w:t xml:space="preserve">Emigration out of the lower Platte River was less clear, but some increased activity did occur during the post-spawning window in May and June. </w:t>
      </w:r>
    </w:p>
    <w:p w14:paraId="13EAD0EE" w14:textId="77777777" w:rsidR="007E7B71" w:rsidRDefault="007E7B71" w:rsidP="0078517E">
      <w:pPr>
        <w:pStyle w:val="ListParagraph"/>
        <w:numPr>
          <w:ilvl w:val="0"/>
          <w:numId w:val="3"/>
        </w:numPr>
      </w:pPr>
      <w:r w:rsidRPr="007E7B71">
        <w:t>Movement into the lower Platte River is not limited to locations below the Elkhorn River confluence but extends the entirety of the system, albeit with lesser frequency moving upstream.</w:t>
      </w:r>
    </w:p>
    <w:p w14:paraId="250C5329" w14:textId="4A12B826" w:rsidR="0078517E" w:rsidRPr="0078517E" w:rsidRDefault="0078517E" w:rsidP="0078517E">
      <w:pPr>
        <w:pStyle w:val="ListParagraph"/>
        <w:numPr>
          <w:ilvl w:val="0"/>
          <w:numId w:val="3"/>
        </w:numPr>
      </w:pPr>
      <w:r w:rsidRPr="0078517E">
        <w:t xml:space="preserve">Both reproductive and non-reproductive </w:t>
      </w:r>
      <w:r w:rsidR="002B5FA5">
        <w:t>PS</w:t>
      </w:r>
      <w:r w:rsidRPr="0078517E">
        <w:t xml:space="preserve"> appear to regularly move into the lower Platte River and its tributaries. Stage IV reproductive female </w:t>
      </w:r>
      <w:r w:rsidR="002B5FA5">
        <w:t>PS</w:t>
      </w:r>
      <w:r w:rsidRPr="0078517E">
        <w:t xml:space="preserve"> have been documented in the lower Platte River and tributaries. </w:t>
      </w:r>
      <w:r>
        <w:t>In 2023 the crew gathered e</w:t>
      </w:r>
      <w:r w:rsidRPr="0078517E">
        <w:t xml:space="preserve">vidence of </w:t>
      </w:r>
      <w:r>
        <w:t xml:space="preserve">potential </w:t>
      </w:r>
      <w:r w:rsidRPr="0078517E">
        <w:t xml:space="preserve">spawning by a single female </w:t>
      </w:r>
      <w:r w:rsidR="002B5FA5">
        <w:t>PS</w:t>
      </w:r>
      <w:r w:rsidRPr="0078517E">
        <w:t>, based on departure time and no eggs present upon recapture</w:t>
      </w:r>
      <w:r>
        <w:t>.</w:t>
      </w:r>
    </w:p>
    <w:p w14:paraId="628B87F1" w14:textId="1C0EE31A" w:rsidR="005234EC" w:rsidRDefault="0078517E" w:rsidP="0078517E">
      <w:pPr>
        <w:pStyle w:val="ListParagraph"/>
        <w:numPr>
          <w:ilvl w:val="0"/>
          <w:numId w:val="3"/>
        </w:numPr>
      </w:pPr>
      <w:r>
        <w:t>Spawning has been very</w:t>
      </w:r>
      <w:r w:rsidR="005234EC">
        <w:t xml:space="preserve"> difficult to </w:t>
      </w:r>
      <w:r w:rsidR="007E7B71">
        <w:t>verify</w:t>
      </w:r>
      <w:r w:rsidR="005234EC">
        <w:t xml:space="preserve"> due to </w:t>
      </w:r>
      <w:r>
        <w:t xml:space="preserve">the </w:t>
      </w:r>
      <w:r w:rsidR="005234EC">
        <w:t>inability to track reproductively ready fish 24/7</w:t>
      </w:r>
      <w:r w:rsidR="007E7B71">
        <w:t xml:space="preserve"> and </w:t>
      </w:r>
      <w:r w:rsidR="005234EC">
        <w:t>inability to collect genetically identifiable embryos/larva</w:t>
      </w:r>
      <w:r w:rsidR="0096088D">
        <w:t xml:space="preserve">e. </w:t>
      </w:r>
      <w:r w:rsidR="007E7B71">
        <w:t>Despite h</w:t>
      </w:r>
      <w:r w:rsidR="0096088D">
        <w:t>igh effort</w:t>
      </w:r>
      <w:r w:rsidR="007E7B71">
        <w:t xml:space="preserve"> toward verifying spawning</w:t>
      </w:r>
      <w:r w:rsidR="0096088D">
        <w:t xml:space="preserve">, </w:t>
      </w:r>
      <w:r w:rsidR="007E7B71">
        <w:t xml:space="preserve">we estimate a </w:t>
      </w:r>
      <w:r w:rsidR="0096088D">
        <w:t>low probability of success.</w:t>
      </w:r>
    </w:p>
    <w:p w14:paraId="1483973E" w14:textId="77777777" w:rsidR="00D37A36" w:rsidRDefault="00D37A36" w:rsidP="007E7B71">
      <w:pPr>
        <w:pStyle w:val="ListParagraph"/>
        <w:ind w:left="0"/>
        <w:rPr>
          <w:b/>
          <w:bCs/>
          <w:i/>
          <w:iCs/>
        </w:rPr>
      </w:pPr>
    </w:p>
    <w:p w14:paraId="71833329" w14:textId="583F6E9E" w:rsidR="007E7B71" w:rsidRPr="007E7B71" w:rsidRDefault="007E7B71" w:rsidP="007E7B71">
      <w:pPr>
        <w:pStyle w:val="ListParagraph"/>
        <w:ind w:left="0"/>
        <w:rPr>
          <w:b/>
          <w:bCs/>
          <w:i/>
          <w:iCs/>
        </w:rPr>
      </w:pPr>
      <w:r w:rsidRPr="007E7B71">
        <w:rPr>
          <w:b/>
          <w:bCs/>
          <w:i/>
          <w:iCs/>
        </w:rPr>
        <w:t>SIU Genetic Research</w:t>
      </w:r>
    </w:p>
    <w:p w14:paraId="2CA21BFB" w14:textId="56826E20" w:rsidR="008D713D" w:rsidRDefault="008D713D" w:rsidP="007B4F6A">
      <w:pPr>
        <w:pStyle w:val="ListParagraph"/>
        <w:numPr>
          <w:ilvl w:val="0"/>
          <w:numId w:val="3"/>
        </w:numPr>
      </w:pPr>
      <w:r>
        <w:t xml:space="preserve">SNP genetic markers combined with </w:t>
      </w:r>
      <w:proofErr w:type="spellStart"/>
      <w:r>
        <w:t>GTseq</w:t>
      </w:r>
      <w:proofErr w:type="spellEnd"/>
      <w:r>
        <w:t xml:space="preserve"> technology provides improved ability to distinguish between pallid, shovelnose, and hybrid sturgeon reducing uncertainty around species identification</w:t>
      </w:r>
      <w:r w:rsidR="00390C60">
        <w:t xml:space="preserve"> and allowing for quicker, more efficient, and more accurate genetic </w:t>
      </w:r>
      <w:r w:rsidR="001D1E30">
        <w:t>assignments</w:t>
      </w:r>
      <w:r w:rsidR="00390C60">
        <w:t>.</w:t>
      </w:r>
    </w:p>
    <w:p w14:paraId="4C92F39D" w14:textId="69E0483F" w:rsidR="0070417B" w:rsidRDefault="0070417B" w:rsidP="008D713D">
      <w:pPr>
        <w:pStyle w:val="ListParagraph"/>
        <w:numPr>
          <w:ilvl w:val="0"/>
          <w:numId w:val="3"/>
        </w:numPr>
      </w:pPr>
      <w:r>
        <w:t xml:space="preserve">Fifty-seven fin clips have been collected from fish captured by UNL with a single clip coming from a fish kill event in 2023. Two were samples from wild caught fish in 2022 (one a pallid, the other a hybrid), with the other fifty-five being of hatchery origin. Of the 57 fin clips, </w:t>
      </w:r>
      <w:proofErr w:type="spellStart"/>
      <w:r>
        <w:t>GTseq</w:t>
      </w:r>
      <w:proofErr w:type="spellEnd"/>
      <w:r>
        <w:t xml:space="preserve"> markers identified 50 as </w:t>
      </w:r>
      <w:r w:rsidR="002B5FA5">
        <w:t>PS</w:t>
      </w:r>
      <w:r>
        <w:t>, 3 as shovelnose sturgeon, 2 as hybrids, and 2 samples came from triploid individuals that could not be identified.</w:t>
      </w:r>
    </w:p>
    <w:p w14:paraId="2EA7FDBD" w14:textId="547FE7F5" w:rsidR="008D713D" w:rsidRDefault="008D713D" w:rsidP="008D713D">
      <w:pPr>
        <w:pStyle w:val="ListParagraph"/>
        <w:numPr>
          <w:ilvl w:val="0"/>
          <w:numId w:val="3"/>
        </w:numPr>
      </w:pPr>
      <w:r>
        <w:t xml:space="preserve">No genetically identifiable </w:t>
      </w:r>
      <w:r w:rsidR="002B5FA5">
        <w:t>PS</w:t>
      </w:r>
      <w:r>
        <w:t xml:space="preserve"> free embryos or larvae have been collected from the lower Platte </w:t>
      </w:r>
      <w:r w:rsidR="001D1E30">
        <w:t xml:space="preserve">River </w:t>
      </w:r>
      <w:r>
        <w:t>over the two years of the study.</w:t>
      </w:r>
      <w:r w:rsidR="0070417B">
        <w:t xml:space="preserve"> Of the six free embryos/eggs collected, two could be identified as shovelnose sturgeon, but there was not enough DNA from the other four to allow for genetic identification.</w:t>
      </w:r>
    </w:p>
    <w:p w14:paraId="238126F2" w14:textId="3B128980" w:rsidR="00BB6AA5" w:rsidRDefault="001D1E30" w:rsidP="006C361E">
      <w:pPr>
        <w:pStyle w:val="ListParagraph"/>
        <w:numPr>
          <w:ilvl w:val="0"/>
          <w:numId w:val="3"/>
        </w:numPr>
      </w:pPr>
      <w:proofErr w:type="spellStart"/>
      <w:r>
        <w:t>GTseq</w:t>
      </w:r>
      <w:proofErr w:type="spellEnd"/>
      <w:r>
        <w:t xml:space="preserve"> markers found small but significant differences between the Great Plains management unit (GPMU) and either the Central Lowland (CLMU) or Interior Highlands (IHMU) management units, but no significant differences between the CLMU and IHMU.</w:t>
      </w:r>
      <w:r w:rsidRPr="001D1E30">
        <w:t xml:space="preserve"> </w:t>
      </w:r>
      <w:r>
        <w:t>These results are consistent with current microsatellite results.</w:t>
      </w:r>
    </w:p>
    <w:p w14:paraId="2E56D45A" w14:textId="77777777" w:rsidR="001D1E30" w:rsidRDefault="001D1E30" w:rsidP="001D1E30">
      <w:pPr>
        <w:pStyle w:val="ListParagraph"/>
        <w:ind w:left="360"/>
      </w:pPr>
    </w:p>
    <w:p w14:paraId="44D73606" w14:textId="77777777" w:rsidR="006C361E" w:rsidRDefault="006C361E" w:rsidP="00615E4C">
      <w:pPr>
        <w:pStyle w:val="Heading2"/>
      </w:pPr>
      <w:bookmarkStart w:id="151" w:name="_Toc155880607"/>
      <w:bookmarkStart w:id="152" w:name="_Toc157060260"/>
      <w:r>
        <w:t>We estimate with confidence that:</w:t>
      </w:r>
      <w:bookmarkEnd w:id="151"/>
      <w:bookmarkEnd w:id="152"/>
    </w:p>
    <w:p w14:paraId="0F405B8D" w14:textId="2912B855" w:rsidR="006C361E" w:rsidRDefault="009912CE" w:rsidP="009912CE">
      <w:pPr>
        <w:pStyle w:val="ListParagraph"/>
        <w:numPr>
          <w:ilvl w:val="0"/>
          <w:numId w:val="3"/>
        </w:numPr>
      </w:pPr>
      <w:r>
        <w:t>Better addressed upon completion of multi-year assessment in 2026.</w:t>
      </w:r>
    </w:p>
    <w:p w14:paraId="4A749E53" w14:textId="77777777" w:rsidR="00BB6AA5" w:rsidRDefault="00BB6AA5" w:rsidP="006C361E"/>
    <w:p w14:paraId="5D738239" w14:textId="2993CD4E" w:rsidR="00D25BE3" w:rsidRDefault="006C361E" w:rsidP="00615E4C">
      <w:pPr>
        <w:pStyle w:val="Heading2"/>
      </w:pPr>
      <w:bookmarkStart w:id="153" w:name="_Toc155880608"/>
      <w:bookmarkStart w:id="154" w:name="_Toc157060261"/>
      <w:r>
        <w:t>Answering EBQ #</w:t>
      </w:r>
      <w:r w:rsidR="00A260C4">
        <w:t>7</w:t>
      </w:r>
      <w:r>
        <w:t xml:space="preserve"> during the Extension:</w:t>
      </w:r>
      <w:bookmarkEnd w:id="153"/>
      <w:bookmarkEnd w:id="154"/>
    </w:p>
    <w:p w14:paraId="4F28F5A1" w14:textId="707DD263" w:rsidR="00242BDB" w:rsidRDefault="00242BDB" w:rsidP="00242BDB">
      <w:pPr>
        <w:pStyle w:val="ListParagraph"/>
        <w:numPr>
          <w:ilvl w:val="0"/>
          <w:numId w:val="3"/>
        </w:numPr>
      </w:pPr>
      <w:r>
        <w:t xml:space="preserve">The Program’s commitment to </w:t>
      </w:r>
      <w:r w:rsidR="002B5FA5">
        <w:t>PS</w:t>
      </w:r>
      <w:r w:rsidR="00AF4C03">
        <w:t xml:space="preserve"> </w:t>
      </w:r>
      <w:r>
        <w:t xml:space="preserve"> during the Extension is achieved through implementation of a three-step science learning process formalized by the GC in a </w:t>
      </w:r>
      <w:hyperlink r:id="rId39" w:history="1">
        <w:r w:rsidRPr="003C2AB0">
          <w:rPr>
            <w:rStyle w:val="Hyperlink"/>
          </w:rPr>
          <w:t>June 2021 Framing Document</w:t>
        </w:r>
      </w:hyperlink>
      <w:r>
        <w:t>.</w:t>
      </w:r>
    </w:p>
    <w:p w14:paraId="185588D8" w14:textId="4D2F1935" w:rsidR="008A13CE" w:rsidRDefault="00242BDB" w:rsidP="008A13CE">
      <w:pPr>
        <w:pStyle w:val="ListParagraph"/>
        <w:numPr>
          <w:ilvl w:val="0"/>
          <w:numId w:val="3"/>
        </w:numPr>
      </w:pPr>
      <w:r w:rsidRPr="00091A71">
        <w:rPr>
          <w:b/>
          <w:bCs/>
        </w:rPr>
        <w:t>Step 1:</w:t>
      </w:r>
      <w:r>
        <w:t xml:space="preserve"> </w:t>
      </w:r>
      <w:r w:rsidR="00CD2731">
        <w:t>(2022-2026)</w:t>
      </w:r>
      <w:r>
        <w:t xml:space="preserve"> </w:t>
      </w:r>
      <w:r w:rsidR="00CD2731">
        <w:t>In 2022 t</w:t>
      </w:r>
      <w:r>
        <w:t xml:space="preserve">wo inter-related </w:t>
      </w:r>
      <w:r w:rsidR="002B5FA5">
        <w:t>PS</w:t>
      </w:r>
      <w:r>
        <w:t xml:space="preserve"> research projects were initiated in collaboration with the University of Nebraska, Lincoln (UNL) and Southern Illinois University</w:t>
      </w:r>
      <w:r w:rsidR="00AF4C03">
        <w:t>, Carbondale</w:t>
      </w:r>
      <w:r>
        <w:t xml:space="preserve"> (SIU). UNL is </w:t>
      </w:r>
      <w:r w:rsidRPr="00242BDB">
        <w:t>leading general habitat and spawning research in the LPR to identify how and how much CPR flow management is likely to influence general</w:t>
      </w:r>
      <w:r w:rsidR="00AF4C03">
        <w:t xml:space="preserve"> </w:t>
      </w:r>
      <w:r w:rsidR="002B5FA5">
        <w:t>PS</w:t>
      </w:r>
      <w:r w:rsidRPr="00242BDB">
        <w:t xml:space="preserve"> use in the LPR.</w:t>
      </w:r>
      <w:r>
        <w:t xml:space="preserve"> Genetics research led by SIU involves genetic identification of </w:t>
      </w:r>
      <w:r w:rsidR="002B5FA5">
        <w:t>PS</w:t>
      </w:r>
      <w:r>
        <w:t xml:space="preserve"> tagged as part of UNL research. </w:t>
      </w:r>
      <w:r w:rsidRPr="008A13CE">
        <w:t xml:space="preserve">Genetics research will be used to assess </w:t>
      </w:r>
      <w:r w:rsidR="002B5FA5">
        <w:t>PS</w:t>
      </w:r>
      <w:r w:rsidRPr="008A13CE">
        <w:t xml:space="preserve"> hybridization, population structure, and effective population size.</w:t>
      </w:r>
    </w:p>
    <w:p w14:paraId="68CECAC7" w14:textId="3FCA33BB" w:rsidR="008A13CE" w:rsidRDefault="00CD2731" w:rsidP="008A13CE">
      <w:pPr>
        <w:pStyle w:val="ListParagraph"/>
        <w:numPr>
          <w:ilvl w:val="0"/>
          <w:numId w:val="3"/>
        </w:numPr>
      </w:pPr>
      <w:r>
        <w:t>(2023-2024) H</w:t>
      </w:r>
      <w:r w:rsidR="008A13CE">
        <w:t>ydraulic modeling bridges the gap between</w:t>
      </w:r>
      <w:r w:rsidR="008A13CE" w:rsidRPr="00550D45">
        <w:t xml:space="preserve"> Step 1 </w:t>
      </w:r>
      <w:r w:rsidR="008A13CE">
        <w:t xml:space="preserve">and </w:t>
      </w:r>
      <w:r w:rsidR="008A13CE" w:rsidRPr="00550D45">
        <w:t xml:space="preserve">Step 2 </w:t>
      </w:r>
      <w:r w:rsidR="008A13CE">
        <w:t>by</w:t>
      </w:r>
      <w:r w:rsidR="008A13CE" w:rsidRPr="00550D45">
        <w:t xml:space="preserve"> 1) translat</w:t>
      </w:r>
      <w:r w:rsidR="008A13CE">
        <w:t>ing</w:t>
      </w:r>
      <w:r w:rsidR="008A13CE" w:rsidRPr="00550D45">
        <w:t xml:space="preserve"> flows from the central Platte to the LPR</w:t>
      </w:r>
      <w:r w:rsidR="008A13CE">
        <w:t xml:space="preserve">, </w:t>
      </w:r>
      <w:r w:rsidR="008A13CE" w:rsidRPr="00550D45">
        <w:t xml:space="preserve">2) </w:t>
      </w:r>
      <w:r w:rsidR="008A13CE">
        <w:t xml:space="preserve">modeling </w:t>
      </w:r>
      <w:r w:rsidR="008A13CE" w:rsidRPr="00550D45">
        <w:t>changes in LPR flow-dependent metrics due to Program flow management, and 3)</w:t>
      </w:r>
      <w:r w:rsidR="008A13CE">
        <w:t xml:space="preserve"> providing the ability to</w:t>
      </w:r>
      <w:r w:rsidR="008A13CE" w:rsidRPr="00550D45">
        <w:t xml:space="preserve"> predict </w:t>
      </w:r>
      <w:r w:rsidR="002B5FA5">
        <w:t>PS</w:t>
      </w:r>
      <w:r w:rsidR="008A13CE" w:rsidRPr="00550D45">
        <w:t xml:space="preserve"> response to those changes.</w:t>
      </w:r>
    </w:p>
    <w:p w14:paraId="1E657395" w14:textId="5B5D0038" w:rsidR="008A13CE" w:rsidRDefault="00242BDB" w:rsidP="008A13CE">
      <w:pPr>
        <w:pStyle w:val="ListParagraph"/>
        <w:numPr>
          <w:ilvl w:val="0"/>
          <w:numId w:val="3"/>
        </w:numPr>
      </w:pPr>
      <w:r w:rsidRPr="00091A71">
        <w:rPr>
          <w:b/>
          <w:bCs/>
        </w:rPr>
        <w:t>Step 2:</w:t>
      </w:r>
      <w:r>
        <w:t xml:space="preserve"> </w:t>
      </w:r>
      <w:r w:rsidR="00CD2731">
        <w:t xml:space="preserve">(2026-2027) </w:t>
      </w:r>
      <w:r w:rsidR="008A13CE">
        <w:t xml:space="preserve">Hydrologic modeling will be included as a task in a flow management study to route central Platte flow to (and through) the LPR for the purpose of identifying potential impacts and benefits to </w:t>
      </w:r>
      <w:r w:rsidR="002B5FA5">
        <w:t>PS</w:t>
      </w:r>
      <w:r w:rsidR="008A13CE">
        <w:t xml:space="preserve"> in the LPR. The EDO will be responsible for defining potential water management/operations scenarios.</w:t>
      </w:r>
    </w:p>
    <w:p w14:paraId="197DB082" w14:textId="77777777" w:rsidR="00BB6AA5" w:rsidRDefault="00BB6AA5" w:rsidP="006C361E"/>
    <w:p w14:paraId="392BA302" w14:textId="77777777" w:rsidR="006C361E" w:rsidRDefault="006C361E" w:rsidP="00615E4C">
      <w:pPr>
        <w:pStyle w:val="Heading2"/>
      </w:pPr>
      <w:bookmarkStart w:id="155" w:name="_Toc155880609"/>
      <w:bookmarkStart w:id="156" w:name="_Toc157060262"/>
      <w:r>
        <w:t>Management implications:</w:t>
      </w:r>
      <w:bookmarkEnd w:id="155"/>
      <w:bookmarkEnd w:id="156"/>
    </w:p>
    <w:p w14:paraId="24E4B007" w14:textId="132EFC91" w:rsidR="00382554" w:rsidRDefault="00CD2731" w:rsidP="00382554">
      <w:pPr>
        <w:pStyle w:val="ListParagraph"/>
        <w:numPr>
          <w:ilvl w:val="0"/>
          <w:numId w:val="3"/>
        </w:numPr>
        <w:spacing w:line="256" w:lineRule="auto"/>
      </w:pPr>
      <w:r>
        <w:t xml:space="preserve">(2028-2030) </w:t>
      </w:r>
      <w:r w:rsidR="00382554">
        <w:t xml:space="preserve">Technical work products from Steps 1 and 2 will be synthesized into a predictive modeling framework that can be used in a stand-alone structured decision-making (SDM) process or as part of a broader SDM process to inform allocation of defined contributions during a Second Increment. As part of the SDM process, policy makers will identify operational rules for CPR flow management that will minimize/avoid impacts and provide benefits to </w:t>
      </w:r>
      <w:r w:rsidR="002B5FA5">
        <w:t>PS</w:t>
      </w:r>
      <w:r w:rsidR="00382554">
        <w:t xml:space="preserve"> in the Second Increment (and possibly remainder of Extension). </w:t>
      </w:r>
    </w:p>
    <w:p w14:paraId="62D7E703" w14:textId="3E100665" w:rsidR="00D768AE" w:rsidRDefault="00382554" w:rsidP="00562562">
      <w:pPr>
        <w:pStyle w:val="ListParagraph"/>
        <w:numPr>
          <w:ilvl w:val="0"/>
          <w:numId w:val="3"/>
        </w:numPr>
        <w:sectPr w:rsidR="00D768AE" w:rsidSect="005B280F">
          <w:pgSz w:w="12240" w:h="15840"/>
          <w:pgMar w:top="1440" w:right="1440" w:bottom="1440" w:left="1440" w:header="720" w:footer="720" w:gutter="0"/>
          <w:lnNumType w:countBy="1" w:restart="newSection"/>
          <w:cols w:space="720"/>
          <w:docGrid w:linePitch="360"/>
        </w:sectPr>
      </w:pPr>
      <w:r w:rsidRPr="00091A71">
        <w:rPr>
          <w:b/>
          <w:bCs/>
        </w:rPr>
        <w:t>Step 3:</w:t>
      </w:r>
      <w:r>
        <w:t xml:space="preserve"> </w:t>
      </w:r>
      <w:r w:rsidR="00CD2731">
        <w:t xml:space="preserve">(2031 forward) </w:t>
      </w:r>
      <w:r>
        <w:t>Manage water in accordance with operational rules during Extension and Second Increment.</w:t>
      </w:r>
    </w:p>
    <w:p w14:paraId="2BF39D22" w14:textId="2E68DD61" w:rsidR="00A72A38" w:rsidRDefault="005310F3" w:rsidP="00A72A38">
      <w:pPr>
        <w:pStyle w:val="NoSpacing"/>
      </w:pPr>
      <w:r>
        <w:rPr>
          <w:noProof/>
        </w:rPr>
        <mc:AlternateContent>
          <mc:Choice Requires="wps">
            <w:drawing>
              <wp:inline distT="0" distB="0" distL="0" distR="0" wp14:anchorId="0801A304" wp14:editId="5B2D9E64">
                <wp:extent cx="5943600" cy="1404620"/>
                <wp:effectExtent l="0" t="0" r="19050" b="14605"/>
                <wp:docPr id="1660178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chemeClr val="accent5">
                            <a:lumMod val="60000"/>
                            <a:lumOff val="40000"/>
                          </a:schemeClr>
                        </a:solidFill>
                        <a:ln w="9525">
                          <a:solidFill>
                            <a:srgbClr val="000000"/>
                          </a:solidFill>
                          <a:miter lim="800000"/>
                          <a:headEnd/>
                          <a:tailEnd/>
                        </a:ln>
                      </wps:spPr>
                      <wps:txbx>
                        <w:txbxContent>
                          <w:p w14:paraId="2A7039DF" w14:textId="4509C042" w:rsidR="005310F3" w:rsidRPr="00DE40BA" w:rsidRDefault="005310F3" w:rsidP="005310F3">
                            <w:pPr>
                              <w:jc w:val="center"/>
                              <w:rPr>
                                <w:b/>
                                <w:bCs/>
                                <w:sz w:val="18"/>
                                <w:szCs w:val="18"/>
                              </w:rPr>
                            </w:pPr>
                            <w:r w:rsidRPr="00DE40BA">
                              <w:rPr>
                                <w:b/>
                                <w:bCs/>
                                <w:sz w:val="18"/>
                                <w:szCs w:val="18"/>
                              </w:rPr>
                              <w:t>Extension Science Priority – Maintenance Learning</w:t>
                            </w:r>
                          </w:p>
                        </w:txbxContent>
                      </wps:txbx>
                      <wps:bodyPr rot="0" vert="horz" wrap="square" lIns="91440" tIns="45720" rIns="91440" bIns="45720" anchor="t" anchorCtr="0">
                        <a:spAutoFit/>
                      </wps:bodyPr>
                    </wps:wsp>
                  </a:graphicData>
                </a:graphic>
              </wp:inline>
            </w:drawing>
          </mc:Choice>
          <mc:Fallback>
            <w:pict>
              <v:shape w14:anchorId="0801A304" id="_x0000_s1040" type="#_x0000_t202" style="width:46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" fillcolor="#9cc2e5 [1944]">
                <v:textbox style="mso-fit-shape-to-text:t">
                  <w:txbxContent>
                    <w:p w14:paraId="2A7039DF" w14:textId="4509C042" w:rsidR="005310F3" w:rsidRPr="00DE40BA" w:rsidRDefault="005310F3" w:rsidP="005310F3">
                      <w:pPr>
                        <w:jc w:val="center"/>
                        <w:rPr>
                          <w:b/>
                          <w:bCs/>
                          <w:sz w:val="18"/>
                          <w:szCs w:val="18"/>
                        </w:rPr>
                      </w:pPr>
                      <w:r w:rsidRPr="00DE40BA">
                        <w:rPr>
                          <w:b/>
                          <w:bCs/>
                          <w:sz w:val="18"/>
                          <w:szCs w:val="18"/>
                        </w:rPr>
                        <w:t>Extension Science Priority – Maintenance Learning</w:t>
                      </w:r>
                    </w:p>
                  </w:txbxContent>
                </v:textbox>
                <w10:anchorlock/>
              </v:shape>
            </w:pict>
          </mc:Fallback>
        </mc:AlternateContent>
      </w:r>
    </w:p>
    <w:p w14:paraId="2DC178C2" w14:textId="205B781B" w:rsidR="00D768AE" w:rsidRPr="00A72A38" w:rsidRDefault="00D768AE" w:rsidP="00A72A38">
      <w:pPr>
        <w:pStyle w:val="Heading1"/>
        <w:rPr>
          <w:i/>
          <w:iCs/>
        </w:rPr>
      </w:pPr>
      <w:bookmarkStart w:id="157" w:name="_Toc157060263"/>
      <w:r w:rsidRPr="00A72A38">
        <w:t>EBQ #8</w:t>
      </w:r>
      <w:r w:rsidR="00A72A38" w:rsidRPr="00A72A38">
        <w:t xml:space="preserve"> – </w:t>
      </w:r>
      <w:r w:rsidR="000F5AF5" w:rsidRPr="00A72A38">
        <w:rPr>
          <w:i/>
          <w:iCs/>
        </w:rPr>
        <w:t>How much of an effect does predation have on PP productivity (fledging)?</w:t>
      </w:r>
      <w:bookmarkEnd w:id="157"/>
    </w:p>
    <w:p w14:paraId="3530BFA9" w14:textId="77777777" w:rsidR="000F5AF5" w:rsidRPr="000F5AF5" w:rsidRDefault="000F5AF5" w:rsidP="00562562"/>
    <w:p w14:paraId="00D2DE96" w14:textId="36E8CBF5" w:rsidR="006C361E" w:rsidRDefault="006C361E" w:rsidP="00615E4C">
      <w:pPr>
        <w:pStyle w:val="Heading2"/>
      </w:pPr>
      <w:bookmarkStart w:id="158" w:name="_Toc155880611"/>
      <w:bookmarkStart w:id="159" w:name="_Toc157060264"/>
      <w:r>
        <w:t>2024 Assessment</w:t>
      </w:r>
      <w:r w:rsidR="00A260C4">
        <w:t>:</w:t>
      </w:r>
      <w:bookmarkEnd w:id="158"/>
      <w:bookmarkEnd w:id="159"/>
    </w:p>
    <w:p w14:paraId="0E07B8F5" w14:textId="59734DF5" w:rsidR="00BB6AA5" w:rsidRDefault="0000355A" w:rsidP="006C361E">
      <w:pPr>
        <w:pStyle w:val="ListParagraph"/>
        <w:numPr>
          <w:ilvl w:val="0"/>
          <w:numId w:val="3"/>
        </w:numPr>
      </w:pPr>
      <w:r>
        <w:t>From 202</w:t>
      </w:r>
      <w:r w:rsidR="00EE6264">
        <w:t>1</w:t>
      </w:r>
      <w:r>
        <w:t xml:space="preserve">-2023 the Program has documented </w:t>
      </w:r>
      <w:r w:rsidR="00C45591">
        <w:t xml:space="preserve">26 plover nests that failed due to predation and </w:t>
      </w:r>
      <w:r>
        <w:t xml:space="preserve">the loss of </w:t>
      </w:r>
      <w:r w:rsidR="00C45591">
        <w:t>98</w:t>
      </w:r>
      <w:r>
        <w:t xml:space="preserve"> plover eggs. In addition</w:t>
      </w:r>
      <w:r w:rsidR="004757ED">
        <w:t>,</w:t>
      </w:r>
      <w:r>
        <w:t xml:space="preserve"> </w:t>
      </w:r>
      <w:r w:rsidR="00C45591">
        <w:t>8</w:t>
      </w:r>
      <w:r>
        <w:t xml:space="preserve"> plover </w:t>
      </w:r>
      <w:r w:rsidR="00C45591">
        <w:t>chicks</w:t>
      </w:r>
      <w:r>
        <w:t xml:space="preserve"> have been documented as lost to predation. </w:t>
      </w:r>
    </w:p>
    <w:p w14:paraId="1FE758BD" w14:textId="54380F92" w:rsidR="006F1548" w:rsidRPr="004C66E9" w:rsidRDefault="00C45591" w:rsidP="004C66E9">
      <w:pPr>
        <w:pStyle w:val="ListParagraph"/>
        <w:numPr>
          <w:ilvl w:val="0"/>
          <w:numId w:val="3"/>
        </w:numPr>
      </w:pPr>
      <w:r>
        <w:t>The first</w:t>
      </w:r>
      <w:r w:rsidR="00893F7A">
        <w:t xml:space="preserve"> formal assessment of how losses to predation impact future PP productivity from the Program</w:t>
      </w:r>
      <w:r w:rsidR="00615EA7">
        <w:t>’</w:t>
      </w:r>
      <w:r w:rsidR="00893F7A">
        <w:t>s AHR is scheduled for 2024.</w:t>
      </w:r>
    </w:p>
    <w:p w14:paraId="64DBD15D" w14:textId="77777777" w:rsidR="006F1548" w:rsidRPr="00180445" w:rsidRDefault="006F1548" w:rsidP="006F1548">
      <w:pPr>
        <w:pStyle w:val="NoSpacing"/>
        <w:jc w:val="center"/>
        <w:rPr>
          <w:rFonts w:asciiTheme="minorHAnsi" w:hAnsiTheme="minorHAnsi" w:cstheme="minorHAnsi"/>
          <w:b/>
          <w:bCs/>
        </w:rPr>
      </w:pPr>
    </w:p>
    <w:p w14:paraId="24E87529" w14:textId="77777777" w:rsidR="006C361E" w:rsidRDefault="006C361E" w:rsidP="00615E4C">
      <w:pPr>
        <w:pStyle w:val="Heading2"/>
      </w:pPr>
      <w:bookmarkStart w:id="160" w:name="_Toc155880612"/>
      <w:bookmarkStart w:id="161" w:name="_Toc157060265"/>
      <w:r>
        <w:t>What the science says in 2024:</w:t>
      </w:r>
      <w:bookmarkEnd w:id="160"/>
      <w:bookmarkEnd w:id="161"/>
    </w:p>
    <w:p w14:paraId="74003BD7" w14:textId="118D5197" w:rsidR="0053387C" w:rsidRDefault="0053387C" w:rsidP="00345425">
      <w:pPr>
        <w:pStyle w:val="ListParagraph"/>
        <w:numPr>
          <w:ilvl w:val="0"/>
          <w:numId w:val="3"/>
        </w:numPr>
      </w:pPr>
      <w:r>
        <w:t>Plover fledge ratios have improved</w:t>
      </w:r>
      <w:r w:rsidR="00DA6544">
        <w:t>, with a three-</w:t>
      </w:r>
      <w:r w:rsidR="00CB5031">
        <w:t>yr.</w:t>
      </w:r>
      <w:r w:rsidR="00DA6544">
        <w:t xml:space="preserve"> running average of 1.25 </w:t>
      </w:r>
      <w:r w:rsidR="00C45591">
        <w:t>fledges/breeding</w:t>
      </w:r>
      <w:r w:rsidR="00BB593E">
        <w:t xml:space="preserve"> pair</w:t>
      </w:r>
      <w:r w:rsidR="00C45591">
        <w:t xml:space="preserve"> </w:t>
      </w:r>
      <w:r w:rsidR="002E162A">
        <w:t>from 2021-2023</w:t>
      </w:r>
      <w:r w:rsidR="00DA6544">
        <w:t xml:space="preserve">, </w:t>
      </w:r>
      <w:r>
        <w:t xml:space="preserve">since the low fledge ratios observed in 2018 </w:t>
      </w:r>
      <w:r w:rsidR="00DA6544">
        <w:t xml:space="preserve">(0.62 fledges/breeding pair) </w:t>
      </w:r>
      <w:r>
        <w:t>and 2019</w:t>
      </w:r>
      <w:r w:rsidR="00DA6544">
        <w:t xml:space="preserve"> (0.67 fledges/breeding pair)</w:t>
      </w:r>
      <w:r>
        <w:t>.</w:t>
      </w:r>
    </w:p>
    <w:p w14:paraId="5360C5DB" w14:textId="1675AD52" w:rsidR="009E7E25" w:rsidRDefault="00DA6544" w:rsidP="0053387C">
      <w:pPr>
        <w:pStyle w:val="ListParagraph"/>
        <w:numPr>
          <w:ilvl w:val="0"/>
          <w:numId w:val="3"/>
        </w:numPr>
      </w:pPr>
      <w:r w:rsidRPr="009E7E25">
        <w:t>From 202</w:t>
      </w:r>
      <w:r w:rsidR="00C45591">
        <w:t>1</w:t>
      </w:r>
      <w:r w:rsidRPr="009E7E25">
        <w:t xml:space="preserve">-2023 </w:t>
      </w:r>
      <w:r w:rsidR="00C45591">
        <w:t xml:space="preserve">an average of </w:t>
      </w:r>
      <w:r w:rsidR="004D4F81" w:rsidRPr="009E7E25">
        <w:t>2</w:t>
      </w:r>
      <w:r w:rsidR="002E162A">
        <w:t>5</w:t>
      </w:r>
      <w:r w:rsidR="004D4F81" w:rsidRPr="009E7E25">
        <w:t xml:space="preserve">% of nests </w:t>
      </w:r>
      <w:r w:rsidR="009E7E25" w:rsidRPr="009E7E25">
        <w:t xml:space="preserve">across the AHR </w:t>
      </w:r>
      <w:r w:rsidR="004D4F81" w:rsidRPr="009E7E25">
        <w:t>were documented to have failed due to predation</w:t>
      </w:r>
      <w:r w:rsidR="002E162A">
        <w:t>. Documentation was</w:t>
      </w:r>
      <w:r w:rsidR="009E7E25">
        <w:t xml:space="preserve"> largely due to the placement of remote cameras at plover nests during incubation.</w:t>
      </w:r>
    </w:p>
    <w:p w14:paraId="48C48772" w14:textId="5FDFA58F" w:rsidR="0053387C" w:rsidRPr="009E7E25" w:rsidRDefault="004D4F81" w:rsidP="0053387C">
      <w:pPr>
        <w:pStyle w:val="ListParagraph"/>
        <w:numPr>
          <w:ilvl w:val="0"/>
          <w:numId w:val="3"/>
        </w:numPr>
      </w:pPr>
      <w:r w:rsidRPr="009E7E25">
        <w:t xml:space="preserve">Though </w:t>
      </w:r>
      <w:r w:rsidR="005E37C8">
        <w:t>28</w:t>
      </w:r>
      <w:r w:rsidRPr="009E7E25">
        <w:t xml:space="preserve">% of broods </w:t>
      </w:r>
      <w:r w:rsidR="009E7E25" w:rsidRPr="009E7E25">
        <w:t>failed over this period</w:t>
      </w:r>
      <w:r w:rsidRPr="009E7E25">
        <w:t>, only 4% of those could be traced back to predation.</w:t>
      </w:r>
      <w:r w:rsidR="009E7E25">
        <w:t xml:space="preserve"> Remote cameras have not been able to capture predation events on mobile chicks</w:t>
      </w:r>
      <w:r w:rsidR="00244B8F">
        <w:t xml:space="preserve">. </w:t>
      </w:r>
      <w:r w:rsidR="009E7E25">
        <w:t xml:space="preserve">Thus, the impact of </w:t>
      </w:r>
      <w:r w:rsidR="0053387C" w:rsidRPr="009E7E25">
        <w:t>predation on broods</w:t>
      </w:r>
      <w:r w:rsidR="009E7E25" w:rsidRPr="009E7E25">
        <w:t xml:space="preserve"> remain</w:t>
      </w:r>
      <w:r w:rsidR="009E7E25">
        <w:t>s a gap</w:t>
      </w:r>
      <w:r w:rsidR="009E7E25" w:rsidRPr="009E7E25">
        <w:t xml:space="preserve"> in our learning</w:t>
      </w:r>
      <w:r w:rsidR="0053387C" w:rsidRPr="009E7E25">
        <w:t>.</w:t>
      </w:r>
    </w:p>
    <w:p w14:paraId="04E3771F" w14:textId="78368C74" w:rsidR="006C361E" w:rsidRDefault="00345425" w:rsidP="0053387C">
      <w:pPr>
        <w:pStyle w:val="ListParagraph"/>
        <w:numPr>
          <w:ilvl w:val="0"/>
          <w:numId w:val="3"/>
        </w:numPr>
      </w:pPr>
      <w:r>
        <w:t>The predators responsible for losses</w:t>
      </w:r>
      <w:r w:rsidR="0053387C">
        <w:t xml:space="preserve"> at nests</w:t>
      </w:r>
      <w:r>
        <w:t xml:space="preserve"> varies across sites and years</w:t>
      </w:r>
      <w:r w:rsidR="006F1548">
        <w:t>, and includes documented predation by avian, mammalian, and reptilian predators</w:t>
      </w:r>
      <w:r w:rsidR="00AE2CC3">
        <w:t>.</w:t>
      </w:r>
    </w:p>
    <w:p w14:paraId="157F1E6F" w14:textId="4D880DBD" w:rsidR="005F3BCD" w:rsidRDefault="00220E79" w:rsidP="005F3BCD">
      <w:pPr>
        <w:pStyle w:val="ListParagraph"/>
        <w:numPr>
          <w:ilvl w:val="0"/>
          <w:numId w:val="3"/>
        </w:numPr>
      </w:pPr>
      <w:r>
        <w:rPr>
          <w:noProof/>
        </w:rPr>
        <w:drawing>
          <wp:anchor distT="0" distB="0" distL="114300" distR="114300" simplePos="0" relativeHeight="251679744" behindDoc="0" locked="0" layoutInCell="1" allowOverlap="1" wp14:anchorId="5649893D" wp14:editId="6E4814D1">
            <wp:simplePos x="0" y="0"/>
            <wp:positionH relativeFrom="margin">
              <wp:align>right</wp:align>
            </wp:positionH>
            <wp:positionV relativeFrom="paragraph">
              <wp:posOffset>13970</wp:posOffset>
            </wp:positionV>
            <wp:extent cx="3645535" cy="2740025"/>
            <wp:effectExtent l="0" t="0" r="0" b="0"/>
            <wp:wrapSquare wrapText="bothSides"/>
            <wp:docPr id="8692008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45535" cy="2740025"/>
                    </a:xfrm>
                    <a:prstGeom prst="rect">
                      <a:avLst/>
                    </a:prstGeom>
                    <a:noFill/>
                  </pic:spPr>
                </pic:pic>
              </a:graphicData>
            </a:graphic>
          </wp:anchor>
        </w:drawing>
      </w:r>
      <w:r w:rsidRPr="00ED6F4A">
        <w:rPr>
          <w:noProof/>
        </w:rPr>
        <w:drawing>
          <wp:anchor distT="0" distB="0" distL="114300" distR="114300" simplePos="0" relativeHeight="251678720" behindDoc="0" locked="0" layoutInCell="1" allowOverlap="1" wp14:anchorId="1EE1BA9E" wp14:editId="22EBCC79">
            <wp:simplePos x="0" y="0"/>
            <wp:positionH relativeFrom="column">
              <wp:posOffset>5213268</wp:posOffset>
            </wp:positionH>
            <wp:positionV relativeFrom="paragraph">
              <wp:posOffset>31355</wp:posOffset>
            </wp:positionV>
            <wp:extent cx="458834" cy="539090"/>
            <wp:effectExtent l="19050" t="19050" r="17780" b="13970"/>
            <wp:wrapNone/>
            <wp:docPr id="1730727296" name="Picture 1730727296"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41" cstate="print">
                      <a:extLst>
                        <a:ext uri="{28A0092B-C50C-407E-A947-70E740481C1C}">
                          <a14:useLocalDpi xmlns:a14="http://schemas.microsoft.com/office/drawing/2010/main" val="0"/>
                        </a:ext>
                      </a:extLst>
                    </a:blip>
                    <a:srcRect l="34753" t="9199" r="19592" b="54004"/>
                    <a:stretch/>
                  </pic:blipFill>
                  <pic:spPr>
                    <a:xfrm>
                      <a:off x="0" y="0"/>
                      <a:ext cx="462410" cy="543292"/>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5F3BCD">
        <w:t>In 2019 prior to nest camera monitoring, 57% of plover nests failed due to unknown causes</w:t>
      </w:r>
      <w:r w:rsidR="00BB593E">
        <w:t xml:space="preserve"> (</w:t>
      </w:r>
      <w:r w:rsidR="00BB593E" w:rsidRPr="00064AFB">
        <w:rPr>
          <w:b/>
          <w:bCs/>
        </w:rPr>
        <w:t xml:space="preserve">Figure </w:t>
      </w:r>
      <w:r w:rsidR="00B8039E">
        <w:rPr>
          <w:b/>
          <w:bCs/>
        </w:rPr>
        <w:t>11</w:t>
      </w:r>
      <w:r w:rsidR="00BB593E">
        <w:t>)</w:t>
      </w:r>
      <w:r w:rsidR="005F3BCD">
        <w:t>. The number of unknown losses dropped to a low of 15% in 2022 due in large part to information gathered at the nest by remote cameras.</w:t>
      </w:r>
    </w:p>
    <w:p w14:paraId="66099521" w14:textId="4A232D13" w:rsidR="000E6228" w:rsidRDefault="005F3BCD" w:rsidP="006C361E">
      <w:pPr>
        <w:pStyle w:val="ListParagraph"/>
        <w:numPr>
          <w:ilvl w:val="0"/>
          <w:numId w:val="3"/>
        </w:numPr>
      </w:pPr>
      <w:r>
        <w:t>As unknown losses dropped, the number of nests we were able to accurately fate as lost to predation increased. Only 2% of nests were fated as failed to predation in 2019 compared to 32% in 2021</w:t>
      </w:r>
      <w:r w:rsidR="00CB796A">
        <w:t xml:space="preserve"> (</w:t>
      </w:r>
      <w:r w:rsidR="00CB796A" w:rsidRPr="00064AFB">
        <w:rPr>
          <w:b/>
          <w:bCs/>
        </w:rPr>
        <w:t xml:space="preserve">Figure </w:t>
      </w:r>
      <w:r w:rsidR="00B8039E">
        <w:rPr>
          <w:b/>
          <w:bCs/>
        </w:rPr>
        <w:t>11</w:t>
      </w:r>
      <w:r w:rsidR="00CB796A">
        <w:t>)</w:t>
      </w:r>
      <w:r>
        <w:t>.</w:t>
      </w:r>
    </w:p>
    <w:p w14:paraId="42185609" w14:textId="2A96D207" w:rsidR="005C652C" w:rsidRDefault="00AD6B97" w:rsidP="006C361E">
      <w:r>
        <w:rPr>
          <w:noProof/>
        </w:rPr>
        <mc:AlternateContent>
          <mc:Choice Requires="wps">
            <w:drawing>
              <wp:anchor distT="45720" distB="45720" distL="114300" distR="114300" simplePos="0" relativeHeight="251681792" behindDoc="0" locked="0" layoutInCell="1" allowOverlap="1" wp14:anchorId="76D95D79" wp14:editId="6E59B415">
                <wp:simplePos x="0" y="0"/>
                <wp:positionH relativeFrom="margin">
                  <wp:posOffset>2393315</wp:posOffset>
                </wp:positionH>
                <wp:positionV relativeFrom="paragraph">
                  <wp:posOffset>158750</wp:posOffset>
                </wp:positionV>
                <wp:extent cx="3681095" cy="1404620"/>
                <wp:effectExtent l="0" t="0" r="14605" b="16510"/>
                <wp:wrapSquare wrapText="bothSides"/>
                <wp:docPr id="961619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1095" cy="1404620"/>
                        </a:xfrm>
                        <a:prstGeom prst="rect">
                          <a:avLst/>
                        </a:prstGeom>
                        <a:solidFill>
                          <a:srgbClr val="FFFFFF"/>
                        </a:solidFill>
                        <a:ln w="9525">
                          <a:solidFill>
                            <a:srgbClr val="000000"/>
                          </a:solidFill>
                          <a:miter lim="800000"/>
                          <a:headEnd/>
                          <a:tailEnd/>
                        </a:ln>
                      </wps:spPr>
                      <wps:txbx>
                        <w:txbxContent>
                          <w:p w14:paraId="37CDC921" w14:textId="43CAC03C" w:rsidR="00220E79" w:rsidRPr="00D37A36" w:rsidRDefault="00220E79">
                            <w:pPr>
                              <w:rPr>
                                <w:sz w:val="18"/>
                                <w:szCs w:val="18"/>
                              </w:rPr>
                            </w:pPr>
                            <w:r w:rsidRPr="007430F3">
                              <w:rPr>
                                <w:b/>
                                <w:bCs/>
                                <w:spacing w:val="-1"/>
                                <w:sz w:val="18"/>
                                <w:szCs w:val="18"/>
                              </w:rPr>
                              <w:t xml:space="preserve">Figure </w:t>
                            </w:r>
                            <w:r w:rsidR="00B8039E">
                              <w:rPr>
                                <w:b/>
                                <w:bCs/>
                                <w:spacing w:val="-1"/>
                                <w:sz w:val="18"/>
                                <w:szCs w:val="18"/>
                              </w:rPr>
                              <w:t>11</w:t>
                            </w:r>
                            <w:r w:rsidRPr="007430F3">
                              <w:rPr>
                                <w:b/>
                                <w:bCs/>
                                <w:spacing w:val="-1"/>
                                <w:sz w:val="18"/>
                                <w:szCs w:val="18"/>
                              </w:rPr>
                              <w:t>.</w:t>
                            </w:r>
                            <w:r w:rsidRPr="00D37A36">
                              <w:rPr>
                                <w:b/>
                                <w:bCs/>
                                <w:spacing w:val="-1"/>
                                <w:sz w:val="18"/>
                                <w:szCs w:val="18"/>
                              </w:rPr>
                              <w:t xml:space="preserve"> </w:t>
                            </w:r>
                            <w:r w:rsidRPr="00D37A36">
                              <w:rPr>
                                <w:spacing w:val="-1"/>
                                <w:sz w:val="18"/>
                                <w:szCs w:val="18"/>
                              </w:rPr>
                              <w:t xml:space="preserve">Proportion of piping plover nests that fledged, failed due to predation, and failed due to unknown causes by year during 2010–2023 across the </w:t>
                            </w:r>
                            <w:r w:rsidRPr="00D37A36">
                              <w:rPr>
                                <w:sz w:val="18"/>
                                <w:szCs w:val="18"/>
                              </w:rPr>
                              <w:t>AHR.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D95D79" id="_x0000_s1041" type="#_x0000_t202" style="position:absolute;margin-left:188.45pt;margin-top:12.5pt;width:289.85pt;height:110.6pt;z-index:2516817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">
                <v:textbox style="mso-fit-shape-to-text:t">
                  <w:txbxContent>
                    <w:p w14:paraId="37CDC921" w14:textId="43CAC03C" w:rsidR="00220E79" w:rsidRPr="00D37A36" w:rsidRDefault="00220E79">
                      <w:pPr>
                        <w:rPr>
                          <w:sz w:val="18"/>
                          <w:szCs w:val="18"/>
                        </w:rPr>
                      </w:pPr>
                      <w:r w:rsidRPr="007430F3">
                        <w:rPr>
                          <w:b/>
                          <w:bCs/>
                          <w:spacing w:val="-1"/>
                          <w:sz w:val="18"/>
                          <w:szCs w:val="18"/>
                        </w:rPr>
                        <w:t xml:space="preserve">Figure </w:t>
                      </w:r>
                      <w:r w:rsidR="00B8039E">
                        <w:rPr>
                          <w:b/>
                          <w:bCs/>
                          <w:spacing w:val="-1"/>
                          <w:sz w:val="18"/>
                          <w:szCs w:val="18"/>
                        </w:rPr>
                        <w:t>11</w:t>
                      </w:r>
                      <w:r w:rsidRPr="007430F3">
                        <w:rPr>
                          <w:b/>
                          <w:bCs/>
                          <w:spacing w:val="-1"/>
                          <w:sz w:val="18"/>
                          <w:szCs w:val="18"/>
                        </w:rPr>
                        <w:t>.</w:t>
                      </w:r>
                      <w:r w:rsidRPr="00D37A36">
                        <w:rPr>
                          <w:b/>
                          <w:bCs/>
                          <w:spacing w:val="-1"/>
                          <w:sz w:val="18"/>
                          <w:szCs w:val="18"/>
                        </w:rPr>
                        <w:t xml:space="preserve"> </w:t>
                      </w:r>
                      <w:r w:rsidRPr="00D37A36">
                        <w:rPr>
                          <w:spacing w:val="-1"/>
                          <w:sz w:val="18"/>
                          <w:szCs w:val="18"/>
                        </w:rPr>
                        <w:t xml:space="preserve">Proportion of piping plover nests that fledged, failed due to predation, and failed due to unknown causes by year during 2010–2023 across the </w:t>
                      </w:r>
                      <w:r w:rsidRPr="00D37A36">
                        <w:rPr>
                          <w:sz w:val="18"/>
                          <w:szCs w:val="18"/>
                        </w:rPr>
                        <w:t>AHR.</w:t>
                      </w:r>
                    </w:p>
                  </w:txbxContent>
                </v:textbox>
                <w10:wrap type="square" anchorx="margin"/>
              </v:shape>
            </w:pict>
          </mc:Fallback>
        </mc:AlternateContent>
      </w:r>
    </w:p>
    <w:p w14:paraId="255D8FD8" w14:textId="14701308" w:rsidR="006C361E" w:rsidRDefault="006C361E" w:rsidP="00615E4C">
      <w:pPr>
        <w:pStyle w:val="Heading2"/>
      </w:pPr>
      <w:bookmarkStart w:id="162" w:name="_Toc155880613"/>
      <w:bookmarkStart w:id="163" w:name="_Toc157060266"/>
      <w:r>
        <w:t>We estimate with confidence that:</w:t>
      </w:r>
      <w:bookmarkEnd w:id="162"/>
      <w:bookmarkEnd w:id="163"/>
    </w:p>
    <w:p w14:paraId="5259AB69" w14:textId="6AB08CCC" w:rsidR="004C66E9" w:rsidRDefault="004C66E9" w:rsidP="004C66E9">
      <w:pPr>
        <w:pStyle w:val="ListParagraph"/>
        <w:numPr>
          <w:ilvl w:val="0"/>
          <w:numId w:val="3"/>
        </w:numPr>
      </w:pPr>
      <w:r>
        <w:t xml:space="preserve">The impact of predation on nest success varies across sites and years, ranging from </w:t>
      </w:r>
      <w:r w:rsidR="009912CE">
        <w:t>4</w:t>
      </w:r>
      <w:r>
        <w:t xml:space="preserve"> to 15 predated nests across the AHR each season from 202</w:t>
      </w:r>
      <w:r w:rsidR="009912CE">
        <w:t>1</w:t>
      </w:r>
      <w:r>
        <w:t>-2023.</w:t>
      </w:r>
    </w:p>
    <w:p w14:paraId="471592F4" w14:textId="5972A54B" w:rsidR="006C361E" w:rsidRDefault="006C361E" w:rsidP="00615E4C">
      <w:pPr>
        <w:pStyle w:val="Heading2"/>
      </w:pPr>
      <w:bookmarkStart w:id="164" w:name="_Toc155880614"/>
      <w:bookmarkStart w:id="165" w:name="_Toc157060267"/>
      <w:r>
        <w:t>Answering EBQ #</w:t>
      </w:r>
      <w:r w:rsidR="00A260C4">
        <w:t>8</w:t>
      </w:r>
      <w:r>
        <w:t xml:space="preserve"> during the Extension:</w:t>
      </w:r>
      <w:bookmarkEnd w:id="164"/>
      <w:bookmarkEnd w:id="165"/>
    </w:p>
    <w:p w14:paraId="21B37BC0" w14:textId="15B22346" w:rsidR="006C361E" w:rsidRDefault="00FC183C" w:rsidP="007B4F6A">
      <w:pPr>
        <w:pStyle w:val="ListParagraph"/>
        <w:numPr>
          <w:ilvl w:val="0"/>
          <w:numId w:val="3"/>
        </w:numPr>
      </w:pPr>
      <w:r>
        <w:t>We will c</w:t>
      </w:r>
      <w:r w:rsidR="00AE2CC3">
        <w:t xml:space="preserve">ontinue to implement additional  predator management </w:t>
      </w:r>
      <w:r>
        <w:t xml:space="preserve">and remote camera monitoring </w:t>
      </w:r>
      <w:r w:rsidR="00CB5651">
        <w:t>through</w:t>
      </w:r>
      <w:r>
        <w:t xml:space="preserve"> the</w:t>
      </w:r>
      <w:r w:rsidR="00CB5651">
        <w:t xml:space="preserve"> 2024 nesting season.</w:t>
      </w:r>
    </w:p>
    <w:p w14:paraId="3DF81789" w14:textId="4C901023" w:rsidR="0018582B" w:rsidRDefault="0018582B" w:rsidP="0018582B">
      <w:pPr>
        <w:pStyle w:val="ListParagraph"/>
        <w:numPr>
          <w:ilvl w:val="0"/>
          <w:numId w:val="3"/>
        </w:numPr>
      </w:pPr>
      <w:r>
        <w:t>First multi-year evaluation of impact is scheduled for 2024.</w:t>
      </w:r>
    </w:p>
    <w:p w14:paraId="71ABCB38" w14:textId="4768358E" w:rsidR="0018582B" w:rsidRDefault="0018582B" w:rsidP="0018582B">
      <w:pPr>
        <w:pStyle w:val="ListParagraph"/>
        <w:numPr>
          <w:ilvl w:val="0"/>
          <w:numId w:val="3"/>
        </w:numPr>
      </w:pPr>
      <w:r>
        <w:t xml:space="preserve">At that </w:t>
      </w:r>
      <w:r w:rsidR="007A2A95">
        <w:t>point,</w:t>
      </w:r>
      <w:r>
        <w:t xml:space="preserve"> a decision will be made to continue additional predator management and remote camera monitoring as currently being implemented or design a new management experiment.</w:t>
      </w:r>
    </w:p>
    <w:p w14:paraId="66A00520" w14:textId="69CF9FD4" w:rsidR="0018582B" w:rsidRDefault="0018582B" w:rsidP="0018582B">
      <w:pPr>
        <w:pStyle w:val="ListParagraph"/>
        <w:numPr>
          <w:ilvl w:val="0"/>
          <w:numId w:val="3"/>
        </w:numPr>
      </w:pPr>
      <w:r>
        <w:t>A second multi-year assessment is scheduled for 2027.</w:t>
      </w:r>
    </w:p>
    <w:p w14:paraId="52A133D7" w14:textId="77777777" w:rsidR="00BB6AA5" w:rsidRDefault="00BB6AA5" w:rsidP="000451A1">
      <w:pPr>
        <w:pStyle w:val="ListParagraph"/>
        <w:ind w:left="360"/>
      </w:pPr>
    </w:p>
    <w:p w14:paraId="6C562315" w14:textId="77777777" w:rsidR="00D768AE" w:rsidRDefault="006C361E" w:rsidP="00615E4C">
      <w:pPr>
        <w:pStyle w:val="Heading2"/>
      </w:pPr>
      <w:bookmarkStart w:id="166" w:name="_Toc155880615"/>
      <w:bookmarkStart w:id="167" w:name="_Toc157060268"/>
      <w:r>
        <w:t>Management implications:</w:t>
      </w:r>
      <w:bookmarkEnd w:id="166"/>
      <w:bookmarkEnd w:id="167"/>
    </w:p>
    <w:p w14:paraId="73DBBC9B" w14:textId="15E7186C" w:rsidR="00AE2CC3" w:rsidRPr="00345CC1" w:rsidRDefault="00D972E8" w:rsidP="00D972E8">
      <w:pPr>
        <w:pStyle w:val="ListParagraph"/>
        <w:numPr>
          <w:ilvl w:val="0"/>
          <w:numId w:val="3"/>
        </w:numPr>
        <w:sectPr w:rsidR="00AE2CC3" w:rsidRPr="00345CC1" w:rsidSect="005B280F">
          <w:pgSz w:w="12240" w:h="15840"/>
          <w:pgMar w:top="1440" w:right="1440" w:bottom="1440" w:left="1440" w:header="720" w:footer="720" w:gutter="0"/>
          <w:lnNumType w:countBy="1" w:restart="newSection"/>
          <w:cols w:space="720"/>
          <w:docGrid w:linePitch="360"/>
        </w:sectPr>
      </w:pPr>
      <w:r>
        <w:t xml:space="preserve">Predation continues to impact plover </w:t>
      </w:r>
      <w:r w:rsidR="0018582B">
        <w:t>productivity but</w:t>
      </w:r>
      <w:r>
        <w:t xml:space="preserve"> is highly variable across sites and years. Losses to predation will help inform mitigation decisions (see </w:t>
      </w:r>
      <w:r w:rsidR="0018582B">
        <w:t xml:space="preserve">Extension </w:t>
      </w:r>
      <w:r>
        <w:t>Big Question</w:t>
      </w:r>
      <w:r w:rsidR="0018582B">
        <w:t xml:space="preserve"> #9 below</w:t>
      </w:r>
      <w:r>
        <w:t xml:space="preserve">). </w:t>
      </w:r>
    </w:p>
    <w:p w14:paraId="2CC17E41" w14:textId="69899DA3" w:rsidR="00DE40BA" w:rsidRDefault="00DE40BA" w:rsidP="00DE40BA">
      <w:pPr>
        <w:pStyle w:val="NoSpacing"/>
      </w:pPr>
      <w:r>
        <w:rPr>
          <w:noProof/>
        </w:rPr>
        <mc:AlternateContent>
          <mc:Choice Requires="wps">
            <w:drawing>
              <wp:inline distT="0" distB="0" distL="0" distR="0" wp14:anchorId="5F715E5D" wp14:editId="639D3377">
                <wp:extent cx="5943600" cy="240030"/>
                <wp:effectExtent l="0" t="0" r="19050" b="26670"/>
                <wp:docPr id="13777600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40030"/>
                        </a:xfrm>
                        <a:prstGeom prst="rect">
                          <a:avLst/>
                        </a:prstGeom>
                        <a:solidFill>
                          <a:srgbClr val="5B9BD5">
                            <a:lumMod val="60000"/>
                            <a:lumOff val="40000"/>
                          </a:srgbClr>
                        </a:solidFill>
                        <a:ln w="9525">
                          <a:solidFill>
                            <a:srgbClr val="000000"/>
                          </a:solidFill>
                          <a:miter lim="800000"/>
                          <a:headEnd/>
                          <a:tailEnd/>
                        </a:ln>
                      </wps:spPr>
                      <wps:txbx>
                        <w:txbxContent>
                          <w:p w14:paraId="7B63E1F8" w14:textId="77777777" w:rsidR="00DE40BA" w:rsidRPr="00DE40BA" w:rsidRDefault="00DE40BA" w:rsidP="00DE40BA">
                            <w:pPr>
                              <w:jc w:val="center"/>
                              <w:rPr>
                                <w:b/>
                                <w:bCs/>
                                <w:sz w:val="18"/>
                                <w:szCs w:val="18"/>
                              </w:rPr>
                            </w:pPr>
                            <w:r w:rsidRPr="00DE40BA">
                              <w:rPr>
                                <w:b/>
                                <w:bCs/>
                                <w:sz w:val="18"/>
                                <w:szCs w:val="18"/>
                              </w:rPr>
                              <w:t>Extension Science Priority – Maintenance Learning</w:t>
                            </w:r>
                          </w:p>
                        </w:txbxContent>
                      </wps:txbx>
                      <wps:bodyPr rot="0" vert="horz" wrap="square" lIns="91440" tIns="45720" rIns="91440" bIns="45720" anchor="t" anchorCtr="0">
                        <a:spAutoFit/>
                      </wps:bodyPr>
                    </wps:wsp>
                  </a:graphicData>
                </a:graphic>
              </wp:inline>
            </w:drawing>
          </mc:Choice>
          <mc:Fallback>
            <w:pict>
              <v:shape w14:anchorId="5F715E5D" id="_x0000_s1042" type="#_x0000_t202" style="width:468pt;height:1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" fillcolor="#9dc3e6">
                <v:textbox style="mso-fit-shape-to-text:t">
                  <w:txbxContent>
                    <w:p w14:paraId="7B63E1F8" w14:textId="77777777" w:rsidR="00DE40BA" w:rsidRPr="00DE40BA" w:rsidRDefault="00DE40BA" w:rsidP="00DE40BA">
                      <w:pPr>
                        <w:jc w:val="center"/>
                        <w:rPr>
                          <w:b/>
                          <w:bCs/>
                          <w:sz w:val="18"/>
                          <w:szCs w:val="18"/>
                        </w:rPr>
                      </w:pPr>
                      <w:r w:rsidRPr="00DE40BA">
                        <w:rPr>
                          <w:b/>
                          <w:bCs/>
                          <w:sz w:val="18"/>
                          <w:szCs w:val="18"/>
                        </w:rPr>
                        <w:t>Extension Science Priority – Maintenance Learning</w:t>
                      </w:r>
                    </w:p>
                  </w:txbxContent>
                </v:textbox>
                <w10:anchorlock/>
              </v:shape>
            </w:pict>
          </mc:Fallback>
        </mc:AlternateContent>
      </w:r>
    </w:p>
    <w:p w14:paraId="10B6FCE6" w14:textId="1A64F50D" w:rsidR="00D768AE" w:rsidRPr="00DE40BA" w:rsidRDefault="00D768AE" w:rsidP="00DE40BA">
      <w:pPr>
        <w:pStyle w:val="Heading1"/>
      </w:pPr>
      <w:bookmarkStart w:id="168" w:name="_Toc157060269"/>
      <w:r w:rsidRPr="00DE40BA">
        <w:t>EBQ #9</w:t>
      </w:r>
      <w:r w:rsidR="00DE40BA" w:rsidRPr="00DE40BA">
        <w:t xml:space="preserve"> – </w:t>
      </w:r>
      <w:r w:rsidR="0092451F" w:rsidRPr="00DE40BA">
        <w:rPr>
          <w:i/>
          <w:iCs/>
        </w:rPr>
        <w:t>How effective is Program management at mitigating losses of PP productivity due to predation?</w:t>
      </w:r>
      <w:bookmarkEnd w:id="168"/>
    </w:p>
    <w:p w14:paraId="519DE1A8" w14:textId="77777777" w:rsidR="00D768AE" w:rsidRDefault="00D768AE" w:rsidP="00562562"/>
    <w:p w14:paraId="5FB5CA14" w14:textId="1AB14260" w:rsidR="006C361E" w:rsidRDefault="006C361E" w:rsidP="00615E4C">
      <w:pPr>
        <w:pStyle w:val="Heading2"/>
      </w:pPr>
      <w:bookmarkStart w:id="169" w:name="_Toc155880617"/>
      <w:bookmarkStart w:id="170" w:name="_Toc157060270"/>
      <w:r>
        <w:t>2024 Assessment</w:t>
      </w:r>
      <w:r w:rsidR="00A260C4">
        <w:t>:</w:t>
      </w:r>
      <w:bookmarkEnd w:id="169"/>
      <w:bookmarkEnd w:id="170"/>
    </w:p>
    <w:p w14:paraId="0B972117" w14:textId="4665A3FD" w:rsidR="006F1548" w:rsidRDefault="006F1548" w:rsidP="006F1548">
      <w:pPr>
        <w:pStyle w:val="ListParagraph"/>
        <w:numPr>
          <w:ilvl w:val="0"/>
          <w:numId w:val="3"/>
        </w:numPr>
      </w:pPr>
      <w:r>
        <w:t>First formal assessment of the effectiveness of Program predator management for mitigating losses of PP productivity is scheduled for 2024.</w:t>
      </w:r>
    </w:p>
    <w:p w14:paraId="7944A4F0" w14:textId="77777777" w:rsidR="00BB6AA5" w:rsidRDefault="00BB6AA5" w:rsidP="006C361E"/>
    <w:p w14:paraId="5FD45F37" w14:textId="77777777" w:rsidR="006C361E" w:rsidRDefault="006C361E" w:rsidP="00615E4C">
      <w:pPr>
        <w:pStyle w:val="Heading2"/>
      </w:pPr>
      <w:bookmarkStart w:id="171" w:name="_Toc155880618"/>
      <w:bookmarkStart w:id="172" w:name="_Toc157060271"/>
      <w:r>
        <w:t>What the science says in 2024:</w:t>
      </w:r>
      <w:bookmarkEnd w:id="171"/>
      <w:bookmarkEnd w:id="172"/>
    </w:p>
    <w:p w14:paraId="7155A9CD" w14:textId="658C4229" w:rsidR="006C361E" w:rsidRDefault="00B21F98" w:rsidP="007B4F6A">
      <w:pPr>
        <w:pStyle w:val="ListParagraph"/>
        <w:numPr>
          <w:ilvl w:val="0"/>
          <w:numId w:val="3"/>
        </w:numPr>
      </w:pPr>
      <w:r>
        <w:t xml:space="preserve">The predator exclusion fence </w:t>
      </w:r>
      <w:r w:rsidR="000F5BBC">
        <w:t xml:space="preserve">installed along the interior shoreline </w:t>
      </w:r>
      <w:r>
        <w:t>at Kearney Broadfoot South has been effective at reducing known losses to predation at this site.</w:t>
      </w:r>
      <w:r w:rsidR="00821411">
        <w:t xml:space="preserve"> </w:t>
      </w:r>
      <w:r w:rsidR="00817C4A">
        <w:t>Plover f</w:t>
      </w:r>
      <w:r w:rsidR="00821411">
        <w:t xml:space="preserve">ledge ratios at this site were higher in 2022 and 2023 than they have been </w:t>
      </w:r>
      <w:r w:rsidR="00817C4A">
        <w:t>since 2014</w:t>
      </w:r>
      <w:r w:rsidR="00821411">
        <w:t>, peaking at 1.63 fledges/</w:t>
      </w:r>
      <w:r w:rsidR="000773FC">
        <w:t>breeding pair</w:t>
      </w:r>
      <w:r w:rsidR="00821411">
        <w:t xml:space="preserve"> in 2023</w:t>
      </w:r>
      <w:r w:rsidR="00CB796A">
        <w:t xml:space="preserve"> (</w:t>
      </w:r>
      <w:r w:rsidR="00CB796A" w:rsidRPr="00064AFB">
        <w:rPr>
          <w:b/>
          <w:bCs/>
        </w:rPr>
        <w:t>Figure 1</w:t>
      </w:r>
      <w:r w:rsidR="00B8039E">
        <w:rPr>
          <w:b/>
          <w:bCs/>
        </w:rPr>
        <w:t>2</w:t>
      </w:r>
      <w:r w:rsidR="00CB796A">
        <w:t>)</w:t>
      </w:r>
      <w:r w:rsidR="00821411">
        <w:t xml:space="preserve">. No </w:t>
      </w:r>
      <w:r w:rsidR="00817C4A">
        <w:t xml:space="preserve">plover </w:t>
      </w:r>
      <w:r w:rsidR="00821411">
        <w:t>nests or broods were documented as lost to predation in 2022 or 2023</w:t>
      </w:r>
      <w:r w:rsidR="000773FC">
        <w:t xml:space="preserve"> at this site</w:t>
      </w:r>
      <w:r w:rsidR="00821411">
        <w:t>.</w:t>
      </w:r>
    </w:p>
    <w:p w14:paraId="7469EB53" w14:textId="098F7653" w:rsidR="004E3010" w:rsidRDefault="0091460C" w:rsidP="007B4F6A">
      <w:pPr>
        <w:pStyle w:val="ListParagraph"/>
        <w:numPr>
          <w:ilvl w:val="0"/>
          <w:numId w:val="3"/>
        </w:numPr>
      </w:pPr>
      <w:r>
        <w:t xml:space="preserve">Fencing installed outside the nesting peninsula together with predator deterrent lighting </w:t>
      </w:r>
      <w:r w:rsidR="00821411">
        <w:t xml:space="preserve">on the nesting peninsula at Newark West </w:t>
      </w:r>
      <w:r>
        <w:t xml:space="preserve">has been </w:t>
      </w:r>
      <w:r w:rsidR="00821411">
        <w:t>less effective and highly variable from year to year.</w:t>
      </w:r>
      <w:r w:rsidR="00911166">
        <w:t xml:space="preserve"> </w:t>
      </w:r>
    </w:p>
    <w:p w14:paraId="2083141D" w14:textId="227252DA" w:rsidR="007160DF" w:rsidRDefault="0091460C" w:rsidP="007160DF">
      <w:pPr>
        <w:pStyle w:val="ListParagraph"/>
        <w:numPr>
          <w:ilvl w:val="0"/>
          <w:numId w:val="3"/>
        </w:numPr>
      </w:pPr>
      <w:r>
        <w:t xml:space="preserve">Lighting alone </w:t>
      </w:r>
      <w:r w:rsidR="004C38C4">
        <w:t>may not be an effective deterrent for avian predators.</w:t>
      </w:r>
      <w:r w:rsidR="00821411">
        <w:t xml:space="preserve"> </w:t>
      </w:r>
      <w:r w:rsidR="007160DF">
        <w:t xml:space="preserve">Cameras documented the insensitivity of owls to this deterrent. </w:t>
      </w:r>
      <w:r w:rsidR="00821411">
        <w:t xml:space="preserve">Leaman lost all nests to predation by owls in 2021 following implementation of lighting. </w:t>
      </w:r>
      <w:r w:rsidR="007160DF">
        <w:t>In 2022 all nests failed due to severe storm events, providing no data on lighting effectiveness for that year. Leaman had only a single plover nest in 2023, which was successful.</w:t>
      </w:r>
    </w:p>
    <w:p w14:paraId="6DEBA82B" w14:textId="77777777" w:rsidR="007430F3" w:rsidRDefault="007430F3" w:rsidP="007430F3"/>
    <w:p w14:paraId="0235A6EB" w14:textId="1ED4DC5F" w:rsidR="00FA2587" w:rsidRDefault="00E86B71" w:rsidP="00A34212">
      <w:pPr>
        <w:pStyle w:val="ListParagraph"/>
        <w:ind w:left="360"/>
        <w:jc w:val="center"/>
      </w:pPr>
      <w:r>
        <w:rPr>
          <w:noProof/>
        </w:rPr>
        <w:drawing>
          <wp:anchor distT="0" distB="0" distL="114300" distR="114300" simplePos="0" relativeHeight="251693056" behindDoc="0" locked="0" layoutInCell="1" allowOverlap="1" wp14:anchorId="56397796" wp14:editId="33D8C947">
            <wp:simplePos x="0" y="0"/>
            <wp:positionH relativeFrom="column">
              <wp:posOffset>3217318</wp:posOffset>
            </wp:positionH>
            <wp:positionV relativeFrom="paragraph">
              <wp:posOffset>163722</wp:posOffset>
            </wp:positionV>
            <wp:extent cx="523451" cy="498296"/>
            <wp:effectExtent l="19050" t="19050" r="10160" b="16510"/>
            <wp:wrapNone/>
            <wp:docPr id="42" name="Picture 42" descr="A bird sitting on a rock&#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1" descr="A bird sitting on a rock&#10;&#10;Description automatically generated"/>
                    <pic:cNvPicPr/>
                  </pic:nvPicPr>
                  <pic:blipFill rotWithShape="1">
                    <a:blip r:embed="rId42" cstate="print">
                      <a:extLst>
                        <a:ext uri="{28A0092B-C50C-407E-A947-70E740481C1C}">
                          <a14:useLocalDpi xmlns:a14="http://schemas.microsoft.com/office/drawing/2010/main" val="0"/>
                        </a:ext>
                      </a:extLst>
                    </a:blip>
                    <a:srcRect l="34753" t="9199" r="19592" b="54004"/>
                    <a:stretch/>
                  </pic:blipFill>
                  <pic:spPr>
                    <a:xfrm>
                      <a:off x="0" y="0"/>
                      <a:ext cx="523451" cy="498296"/>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sidR="000D1CB7">
        <w:rPr>
          <w:noProof/>
        </w:rPr>
        <mc:AlternateContent>
          <mc:Choice Requires="wpg">
            <w:drawing>
              <wp:anchor distT="0" distB="0" distL="114300" distR="114300" simplePos="0" relativeHeight="251684864" behindDoc="0" locked="0" layoutInCell="1" allowOverlap="1" wp14:anchorId="656AD5D0" wp14:editId="07A6C7BB">
                <wp:simplePos x="0" y="0"/>
                <wp:positionH relativeFrom="column">
                  <wp:posOffset>855878</wp:posOffset>
                </wp:positionH>
                <wp:positionV relativeFrom="paragraph">
                  <wp:posOffset>106172</wp:posOffset>
                </wp:positionV>
                <wp:extent cx="3035808" cy="1633855"/>
                <wp:effectExtent l="0" t="0" r="12700" b="23495"/>
                <wp:wrapNone/>
                <wp:docPr id="2137667181" name="Group 13"/>
                <wp:cNvGraphicFramePr/>
                <a:graphic xmlns:a="http://schemas.openxmlformats.org/drawingml/2006/main">
                  <a:graphicData uri="http://schemas.microsoft.com/office/word/2010/wordprocessingGroup">
                    <wpg:wgp>
                      <wpg:cNvGrpSpPr/>
                      <wpg:grpSpPr>
                        <a:xfrm>
                          <a:off x="0" y="0"/>
                          <a:ext cx="3035808" cy="1633855"/>
                          <a:chOff x="0" y="0"/>
                          <a:chExt cx="3035808" cy="1633855"/>
                        </a:xfrm>
                      </wpg:grpSpPr>
                      <wps:wsp>
                        <wps:cNvPr id="1337646237" name="Straight Connector 10"/>
                        <wps:cNvCnPr/>
                        <wps:spPr>
                          <a:xfrm>
                            <a:off x="3035808" y="0"/>
                            <a:ext cx="0" cy="1633855"/>
                          </a:xfrm>
                          <a:prstGeom prst="line">
                            <a:avLst/>
                          </a:prstGeom>
                          <a:ln w="19050">
                            <a:solidFill>
                              <a:schemeClr val="bg2">
                                <a:lumMod val="25000"/>
                              </a:schemeClr>
                            </a:solidFill>
                            <a:prstDash val="sysDash"/>
                          </a:ln>
                        </wps:spPr>
                        <wps:style>
                          <a:lnRef idx="1">
                            <a:schemeClr val="accent1"/>
                          </a:lnRef>
                          <a:fillRef idx="0">
                            <a:schemeClr val="accent1"/>
                          </a:fillRef>
                          <a:effectRef idx="0">
                            <a:schemeClr val="accent1"/>
                          </a:effectRef>
                          <a:fontRef idx="minor">
                            <a:schemeClr val="tx1"/>
                          </a:fontRef>
                        </wps:style>
                        <wps:bodyPr/>
                      </wps:wsp>
                      <wps:wsp>
                        <wps:cNvPr id="1217970943" name="Rectangle 12"/>
                        <wps:cNvSpPr/>
                        <wps:spPr>
                          <a:xfrm>
                            <a:off x="0" y="14630"/>
                            <a:ext cx="3029803" cy="1610436"/>
                          </a:xfrm>
                          <a:prstGeom prst="rect">
                            <a:avLst/>
                          </a:prstGeom>
                          <a:solidFill>
                            <a:schemeClr val="accent1">
                              <a:lumMod val="40000"/>
                              <a:lumOff val="60000"/>
                              <a:alpha val="38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B264249" id="Group 13" o:spid="_x0000_s1026" style="position:absolute;margin-left:67.4pt;margin-top:8.35pt;width:239.05pt;height:128.65pt;z-index:251684864" coordsize="30358,16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">
                <v:line id="Straight Connector 10" o:spid="_x0000_s1027" style="position:absolute;visibility:visible;mso-wrap-style:square" from="30358,0" to="30358,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" strokecolor="#393737 [814]" strokeweight="1.5pt">
                  <v:stroke dashstyle="3 1" joinstyle="miter"/>
                </v:line>
                <v:rect id="Rectangle 12" o:spid="_x0000_s1028" style="position:absolute;top:146;width:30298;height:16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" fillcolor="#b4c6e7 [1300]" stroked="f" strokeweight="1pt">
                  <v:fill opacity="24929f"/>
                </v:rect>
              </v:group>
            </w:pict>
          </mc:Fallback>
        </mc:AlternateContent>
      </w:r>
      <w:r w:rsidR="00FA2587">
        <w:rPr>
          <w:noProof/>
        </w:rPr>
        <w:drawing>
          <wp:inline distT="0" distB="0" distL="0" distR="0" wp14:anchorId="3B376E40" wp14:editId="4CD86272">
            <wp:extent cx="4658482" cy="2429301"/>
            <wp:effectExtent l="0" t="0" r="0" b="9525"/>
            <wp:docPr id="5209467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58482" cy="2429301"/>
                    </a:xfrm>
                    <a:prstGeom prst="rect">
                      <a:avLst/>
                    </a:prstGeom>
                    <a:noFill/>
                  </pic:spPr>
                </pic:pic>
              </a:graphicData>
            </a:graphic>
          </wp:inline>
        </w:drawing>
      </w:r>
    </w:p>
    <w:p w14:paraId="4117AC2F" w14:textId="393A96DF" w:rsidR="00BB6AA5" w:rsidRPr="00D37A36" w:rsidRDefault="00FA2587" w:rsidP="006C361E">
      <w:pPr>
        <w:rPr>
          <w:sz w:val="18"/>
          <w:szCs w:val="18"/>
        </w:rPr>
      </w:pPr>
      <w:r w:rsidRPr="007430F3">
        <w:rPr>
          <w:b/>
          <w:bCs/>
          <w:sz w:val="18"/>
          <w:szCs w:val="18"/>
        </w:rPr>
        <w:t xml:space="preserve">Figure </w:t>
      </w:r>
      <w:r w:rsidR="007430F3" w:rsidRPr="007430F3">
        <w:rPr>
          <w:b/>
          <w:bCs/>
          <w:sz w:val="18"/>
          <w:szCs w:val="18"/>
        </w:rPr>
        <w:t>1</w:t>
      </w:r>
      <w:r w:rsidR="00B8039E">
        <w:rPr>
          <w:b/>
          <w:bCs/>
          <w:sz w:val="18"/>
          <w:szCs w:val="18"/>
        </w:rPr>
        <w:t>2</w:t>
      </w:r>
      <w:r w:rsidRPr="007430F3">
        <w:rPr>
          <w:b/>
          <w:bCs/>
          <w:sz w:val="18"/>
          <w:szCs w:val="18"/>
        </w:rPr>
        <w:t>.</w:t>
      </w:r>
      <w:r w:rsidRPr="00D37A36">
        <w:rPr>
          <w:sz w:val="18"/>
          <w:szCs w:val="18"/>
        </w:rPr>
        <w:t xml:space="preserve"> </w:t>
      </w:r>
      <w:r w:rsidR="00BF1A0F" w:rsidRPr="00D37A36">
        <w:rPr>
          <w:sz w:val="18"/>
          <w:szCs w:val="18"/>
        </w:rPr>
        <w:t>Piping plover f</w:t>
      </w:r>
      <w:r w:rsidRPr="00D37A36">
        <w:rPr>
          <w:sz w:val="18"/>
          <w:szCs w:val="18"/>
        </w:rPr>
        <w:t xml:space="preserve">ledge ratios at Kearney Broadfoot South OCSW nesting site prior to (blue shaded region) and following (no shading) implementation of additional predator management (interior predator fence and deterrent lighting). </w:t>
      </w:r>
    </w:p>
    <w:p w14:paraId="41FB47C7" w14:textId="77777777" w:rsidR="000D1CB7" w:rsidRDefault="000D1CB7" w:rsidP="006C361E"/>
    <w:p w14:paraId="7E602218" w14:textId="77777777" w:rsidR="006C361E" w:rsidRDefault="006C361E" w:rsidP="00615E4C">
      <w:pPr>
        <w:pStyle w:val="Heading2"/>
      </w:pPr>
      <w:bookmarkStart w:id="173" w:name="_Toc155880619"/>
      <w:bookmarkStart w:id="174" w:name="_Toc157060272"/>
      <w:r>
        <w:t>We estimate with confidence that:</w:t>
      </w:r>
      <w:bookmarkEnd w:id="173"/>
      <w:bookmarkEnd w:id="174"/>
    </w:p>
    <w:p w14:paraId="08EF69DB" w14:textId="09B3E7F6" w:rsidR="009C626A" w:rsidRDefault="00B13FCF" w:rsidP="007430F3">
      <w:pPr>
        <w:pStyle w:val="ListParagraph"/>
        <w:numPr>
          <w:ilvl w:val="0"/>
          <w:numId w:val="3"/>
        </w:numPr>
      </w:pPr>
      <w:r>
        <w:t>Fencing along interior shorelines has been effective in reducing losses to predation</w:t>
      </w:r>
      <w:r w:rsidR="007430F3">
        <w:t>.</w:t>
      </w:r>
      <w:r w:rsidR="007430F3">
        <w:br w:type="page"/>
      </w:r>
    </w:p>
    <w:p w14:paraId="7487BA12" w14:textId="31D2F815" w:rsidR="006C361E" w:rsidRDefault="006C361E" w:rsidP="00615E4C">
      <w:pPr>
        <w:pStyle w:val="Heading2"/>
      </w:pPr>
      <w:bookmarkStart w:id="175" w:name="_Toc155880620"/>
      <w:bookmarkStart w:id="176" w:name="_Toc157060273"/>
      <w:r>
        <w:t>Answering EBQ #</w:t>
      </w:r>
      <w:r w:rsidR="00A260C4">
        <w:t>9</w:t>
      </w:r>
      <w:r>
        <w:t xml:space="preserve"> during the Extension:</w:t>
      </w:r>
      <w:bookmarkEnd w:id="175"/>
      <w:bookmarkEnd w:id="176"/>
    </w:p>
    <w:p w14:paraId="4BFCA8C7" w14:textId="77777777" w:rsidR="009C626A" w:rsidRDefault="009C626A" w:rsidP="009C626A">
      <w:pPr>
        <w:pStyle w:val="ListParagraph"/>
        <w:numPr>
          <w:ilvl w:val="0"/>
          <w:numId w:val="3"/>
        </w:numPr>
      </w:pPr>
      <w:r>
        <w:t>We will continue to implement additional  predator management and remote camera monitoring through the 2024 nesting season.</w:t>
      </w:r>
    </w:p>
    <w:p w14:paraId="36E3C150" w14:textId="77777777" w:rsidR="009C626A" w:rsidRDefault="009C626A" w:rsidP="009C626A">
      <w:pPr>
        <w:pStyle w:val="ListParagraph"/>
        <w:numPr>
          <w:ilvl w:val="0"/>
          <w:numId w:val="3"/>
        </w:numPr>
      </w:pPr>
      <w:r>
        <w:t>First multi-year evaluation of impact is scheduled for 2024.</w:t>
      </w:r>
    </w:p>
    <w:p w14:paraId="5A7BDB40" w14:textId="6F7F36FE" w:rsidR="009C626A" w:rsidRDefault="009C626A" w:rsidP="009C626A">
      <w:pPr>
        <w:pStyle w:val="ListParagraph"/>
        <w:numPr>
          <w:ilvl w:val="0"/>
          <w:numId w:val="3"/>
        </w:numPr>
      </w:pPr>
      <w:r>
        <w:t xml:space="preserve">At that </w:t>
      </w:r>
      <w:r w:rsidR="007A2A95">
        <w:t>point,</w:t>
      </w:r>
      <w:r>
        <w:t xml:space="preserve"> a decision will be made to continue additional predator management and remote camera monitoring as currently being implemented or design a new management experiment.</w:t>
      </w:r>
    </w:p>
    <w:p w14:paraId="5C970123" w14:textId="77777777" w:rsidR="009C626A" w:rsidRDefault="009C626A" w:rsidP="009C626A">
      <w:pPr>
        <w:pStyle w:val="ListParagraph"/>
        <w:numPr>
          <w:ilvl w:val="0"/>
          <w:numId w:val="3"/>
        </w:numPr>
      </w:pPr>
      <w:r>
        <w:t>A second multi-year assessment is scheduled for 2027.</w:t>
      </w:r>
    </w:p>
    <w:p w14:paraId="2479ADAF" w14:textId="77777777" w:rsidR="00BB6AA5" w:rsidRDefault="00BB6AA5" w:rsidP="006C361E"/>
    <w:p w14:paraId="6E39987D" w14:textId="77777777" w:rsidR="00D768AE" w:rsidRDefault="006C361E" w:rsidP="00615E4C">
      <w:pPr>
        <w:pStyle w:val="Heading2"/>
      </w:pPr>
      <w:bookmarkStart w:id="177" w:name="_Toc155880621"/>
      <w:bookmarkStart w:id="178" w:name="_Toc157060274"/>
      <w:r>
        <w:t>Management implications:</w:t>
      </w:r>
      <w:bookmarkEnd w:id="177"/>
      <w:bookmarkEnd w:id="178"/>
    </w:p>
    <w:p w14:paraId="0B5ECA3B" w14:textId="77777777" w:rsidR="000451A1" w:rsidRDefault="000451A1" w:rsidP="000451A1">
      <w:pPr>
        <w:pStyle w:val="ListParagraph"/>
        <w:numPr>
          <w:ilvl w:val="0"/>
          <w:numId w:val="3"/>
        </w:numPr>
      </w:pPr>
      <w:r>
        <w:t>High year to year variability in predation pressure across sites will make it hard to predict ahead of time which targeted management actions might be most appropriate for deployment at each site each season.</w:t>
      </w:r>
    </w:p>
    <w:p w14:paraId="353D77BA" w14:textId="6DAED9E3" w:rsidR="000451A1" w:rsidRPr="00345CC1" w:rsidRDefault="000451A1" w:rsidP="000451A1">
      <w:pPr>
        <w:pStyle w:val="ListParagraph"/>
        <w:numPr>
          <w:ilvl w:val="0"/>
          <w:numId w:val="3"/>
        </w:numPr>
        <w:sectPr w:rsidR="000451A1" w:rsidRPr="00345CC1" w:rsidSect="005B280F">
          <w:pgSz w:w="12240" w:h="15840"/>
          <w:pgMar w:top="1440" w:right="1440" w:bottom="1440" w:left="1440" w:header="720" w:footer="720" w:gutter="0"/>
          <w:lnNumType w:countBy="1" w:restart="newSection"/>
          <w:cols w:space="720"/>
          <w:docGrid w:linePitch="360"/>
        </w:sectPr>
      </w:pPr>
      <w:r>
        <w:t>Predator control with broader applicability such as fencing that not only reduces predator presence on nesting sites but also reduces the number of other species (</w:t>
      </w:r>
      <w:r w:rsidR="00BE58E9">
        <w:t>e.g.,</w:t>
      </w:r>
      <w:r w:rsidR="00D972E8">
        <w:t xml:space="preserve"> </w:t>
      </w:r>
      <w:r>
        <w:t xml:space="preserve">geese and turtles) that nest there to attract predators may be an effective strategy. </w:t>
      </w:r>
    </w:p>
    <w:p w14:paraId="28EDC93C" w14:textId="3182F46D" w:rsidR="00473681" w:rsidRDefault="00473681" w:rsidP="00473681">
      <w:pPr>
        <w:pStyle w:val="NoSpacing"/>
      </w:pPr>
      <w:r>
        <w:rPr>
          <w:noProof/>
        </w:rPr>
        <mc:AlternateContent>
          <mc:Choice Requires="wps">
            <w:drawing>
              <wp:inline distT="0" distB="0" distL="0" distR="0" wp14:anchorId="07E7C7E7" wp14:editId="33A344B2">
                <wp:extent cx="5943600" cy="240030"/>
                <wp:effectExtent l="0" t="0" r="19050" b="26670"/>
                <wp:docPr id="16998040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40030"/>
                        </a:xfrm>
                        <a:prstGeom prst="rect">
                          <a:avLst/>
                        </a:prstGeom>
                        <a:solidFill>
                          <a:srgbClr val="5B9BD5">
                            <a:lumMod val="60000"/>
                            <a:lumOff val="40000"/>
                          </a:srgbClr>
                        </a:solidFill>
                        <a:ln w="9525">
                          <a:solidFill>
                            <a:srgbClr val="000000"/>
                          </a:solidFill>
                          <a:miter lim="800000"/>
                          <a:headEnd/>
                          <a:tailEnd/>
                        </a:ln>
                      </wps:spPr>
                      <wps:txbx>
                        <w:txbxContent>
                          <w:p w14:paraId="549A7B1B" w14:textId="77777777" w:rsidR="00473681" w:rsidRPr="00DE40BA" w:rsidRDefault="00473681" w:rsidP="00473681">
                            <w:pPr>
                              <w:jc w:val="center"/>
                              <w:rPr>
                                <w:b/>
                                <w:bCs/>
                                <w:sz w:val="18"/>
                                <w:szCs w:val="18"/>
                              </w:rPr>
                            </w:pPr>
                            <w:r w:rsidRPr="00DE40BA">
                              <w:rPr>
                                <w:b/>
                                <w:bCs/>
                                <w:sz w:val="18"/>
                                <w:szCs w:val="18"/>
                              </w:rPr>
                              <w:t>Extension Science Priority – Maintenance Learning</w:t>
                            </w:r>
                          </w:p>
                        </w:txbxContent>
                      </wps:txbx>
                      <wps:bodyPr rot="0" vert="horz" wrap="square" lIns="91440" tIns="45720" rIns="91440" bIns="45720" anchor="t" anchorCtr="0">
                        <a:spAutoFit/>
                      </wps:bodyPr>
                    </wps:wsp>
                  </a:graphicData>
                </a:graphic>
              </wp:inline>
            </w:drawing>
          </mc:Choice>
          <mc:Fallback>
            <w:pict>
              <v:shape w14:anchorId="07E7C7E7" id="_x0000_s1043" type="#_x0000_t202" style="width:468pt;height:1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" fillcolor="#9dc3e6">
                <v:textbox style="mso-fit-shape-to-text:t">
                  <w:txbxContent>
                    <w:p w14:paraId="549A7B1B" w14:textId="77777777" w:rsidR="00473681" w:rsidRPr="00DE40BA" w:rsidRDefault="00473681" w:rsidP="00473681">
                      <w:pPr>
                        <w:jc w:val="center"/>
                        <w:rPr>
                          <w:b/>
                          <w:bCs/>
                          <w:sz w:val="18"/>
                          <w:szCs w:val="18"/>
                        </w:rPr>
                      </w:pPr>
                      <w:r w:rsidRPr="00DE40BA">
                        <w:rPr>
                          <w:b/>
                          <w:bCs/>
                          <w:sz w:val="18"/>
                          <w:szCs w:val="18"/>
                        </w:rPr>
                        <w:t>Extension Science Priority – Maintenance Learning</w:t>
                      </w:r>
                    </w:p>
                  </w:txbxContent>
                </v:textbox>
                <w10:anchorlock/>
              </v:shape>
            </w:pict>
          </mc:Fallback>
        </mc:AlternateContent>
      </w:r>
    </w:p>
    <w:p w14:paraId="30D47B2B" w14:textId="1CFF297B" w:rsidR="00D768AE" w:rsidRPr="00473681" w:rsidRDefault="00D768AE" w:rsidP="00473681">
      <w:pPr>
        <w:pStyle w:val="Heading1"/>
      </w:pPr>
      <w:bookmarkStart w:id="179" w:name="_Toc157060275"/>
      <w:r w:rsidRPr="00473681">
        <w:t>EBQ #10</w:t>
      </w:r>
      <w:r w:rsidR="00473681" w:rsidRPr="00473681">
        <w:t xml:space="preserve"> – </w:t>
      </w:r>
      <w:r w:rsidR="00E03DB7" w:rsidRPr="00473681">
        <w:rPr>
          <w:i/>
          <w:iCs/>
        </w:rPr>
        <w:t>Wet meadows research (NOTE: this is a carryover task from the First Increment to specifically address the physical processes involved in wet meadow hydrology)</w:t>
      </w:r>
      <w:bookmarkEnd w:id="179"/>
    </w:p>
    <w:p w14:paraId="66C63AD4" w14:textId="77777777" w:rsidR="00BB6AA5" w:rsidRDefault="00BB6AA5" w:rsidP="006C361E"/>
    <w:p w14:paraId="3DFBB060" w14:textId="77777777" w:rsidR="00584269" w:rsidRDefault="00584269" w:rsidP="00615E4C">
      <w:pPr>
        <w:pStyle w:val="Heading2"/>
      </w:pPr>
      <w:bookmarkStart w:id="180" w:name="_Toc155880623"/>
      <w:bookmarkStart w:id="181" w:name="_Toc157060276"/>
      <w:r>
        <w:t>What the science says in 2024:</w:t>
      </w:r>
      <w:bookmarkEnd w:id="180"/>
      <w:bookmarkEnd w:id="181"/>
    </w:p>
    <w:p w14:paraId="7BAA2571" w14:textId="6A82AA46" w:rsidR="00584269" w:rsidRPr="00030021" w:rsidRDefault="00584269" w:rsidP="00584269">
      <w:pPr>
        <w:pStyle w:val="ListParagraph"/>
        <w:numPr>
          <w:ilvl w:val="0"/>
          <w:numId w:val="3"/>
        </w:numPr>
      </w:pPr>
      <w:r>
        <w:t>Wet meadows in the central Platte River valley exhibit highly variable groundwater depths and inundation frequency, in part due to local variations in topography and relative elevation differences between the river and adjacent valley floor</w:t>
      </w:r>
      <w:r w:rsidR="007A2A95">
        <w:t xml:space="preserve">. </w:t>
      </w:r>
      <w:r>
        <w:t>Because groundwater and vegetation are tightly linked, this variability has important implications for management and restoration of wet meadow sites</w:t>
      </w:r>
      <w:r w:rsidR="00CB796A">
        <w:t xml:space="preserve"> (</w:t>
      </w:r>
      <w:r w:rsidR="00CB796A" w:rsidRPr="00064AFB">
        <w:rPr>
          <w:b/>
          <w:bCs/>
        </w:rPr>
        <w:t>Figure 1</w:t>
      </w:r>
      <w:r w:rsidR="00B8039E">
        <w:rPr>
          <w:b/>
          <w:bCs/>
        </w:rPr>
        <w:t>3</w:t>
      </w:r>
      <w:r w:rsidR="00CB796A">
        <w:t>)</w:t>
      </w:r>
      <w:r>
        <w:t>.</w:t>
      </w:r>
    </w:p>
    <w:p w14:paraId="496B66B2" w14:textId="77777777" w:rsidR="00584269" w:rsidRPr="00DC0685" w:rsidRDefault="00584269" w:rsidP="00584269">
      <w:pPr>
        <w:rPr>
          <w:highlight w:val="yellow"/>
        </w:rPr>
      </w:pPr>
      <w:r w:rsidRPr="002806F4">
        <w:rPr>
          <w:rFonts w:ascii="Times New Roman" w:hAnsi="Times New Roman" w:cs="Times New Roman"/>
          <w:noProof/>
          <w:sz w:val="24"/>
          <w:szCs w:val="24"/>
        </w:rPr>
        <w:drawing>
          <wp:anchor distT="0" distB="0" distL="114300" distR="114300" simplePos="0" relativeHeight="251695104" behindDoc="1" locked="0" layoutInCell="1" allowOverlap="1" wp14:anchorId="6268BADC" wp14:editId="66D57345">
            <wp:simplePos x="0" y="0"/>
            <wp:positionH relativeFrom="column">
              <wp:posOffset>476250</wp:posOffset>
            </wp:positionH>
            <wp:positionV relativeFrom="paragraph">
              <wp:posOffset>102870</wp:posOffset>
            </wp:positionV>
            <wp:extent cx="4905375" cy="4998085"/>
            <wp:effectExtent l="0" t="0" r="9525" b="0"/>
            <wp:wrapTopAndBottom/>
            <wp:docPr id="432061745" name="Picture 432061745" descr="Shape&#10;&#10;Description automatically generated">
              <a:extLst xmlns:a="http://schemas.openxmlformats.org/drawingml/2006/main">
                <a:ext uri="{FF2B5EF4-FFF2-40B4-BE49-F238E27FC236}">
                  <a16:creationId xmlns:a16="http://schemas.microsoft.com/office/drawing/2014/main" id="{B7081465-58C1-5201-1978-4EEA1C409D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Shape&#10;&#10;Description automatically generated">
                      <a:extLst>
                        <a:ext uri="{FF2B5EF4-FFF2-40B4-BE49-F238E27FC236}">
                          <a16:creationId xmlns:a16="http://schemas.microsoft.com/office/drawing/2014/main" id="{B7081465-58C1-5201-1978-4EEA1C409DC3}"/>
                        </a:ext>
                      </a:extLst>
                    </pic:cNvPr>
                    <pic:cNvPicPr>
                      <a:picLocks noChangeAspect="1"/>
                    </pic:cNvPicPr>
                  </pic:nvPicPr>
                  <pic:blipFill rotWithShape="1">
                    <a:blip r:embed="rId44">
                      <a:extLst>
                        <a:ext uri="{28A0092B-C50C-407E-A947-70E740481C1C}">
                          <a14:useLocalDpi xmlns:a14="http://schemas.microsoft.com/office/drawing/2010/main" val="0"/>
                        </a:ext>
                      </a:extLst>
                    </a:blip>
                    <a:srcRect l="715" r="715" b="3706"/>
                    <a:stretch/>
                  </pic:blipFill>
                  <pic:spPr bwMode="auto">
                    <a:xfrm>
                      <a:off x="0" y="0"/>
                      <a:ext cx="4905375" cy="4998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4FA43D" w14:textId="7CEFA217" w:rsidR="00584269" w:rsidRPr="00D37A36" w:rsidRDefault="00584269" w:rsidP="00D37A36">
      <w:pPr>
        <w:pStyle w:val="Caption"/>
        <w:ind w:left="360"/>
        <w:rPr>
          <w:rFonts w:cstheme="minorHAnsi"/>
          <w:i w:val="0"/>
          <w:iCs w:val="0"/>
          <w:color w:val="auto"/>
        </w:rPr>
      </w:pPr>
      <w:bookmarkStart w:id="182" w:name="_Ref135134081"/>
      <w:bookmarkStart w:id="183" w:name="_Toc139885669"/>
      <w:r w:rsidRPr="00D37A36">
        <w:rPr>
          <w:rFonts w:cstheme="minorHAnsi"/>
          <w:b/>
          <w:bCs/>
          <w:i w:val="0"/>
          <w:iCs w:val="0"/>
          <w:color w:val="auto"/>
        </w:rPr>
        <w:t xml:space="preserve">Figure </w:t>
      </w:r>
      <w:bookmarkEnd w:id="182"/>
      <w:r w:rsidR="00FC788E">
        <w:rPr>
          <w:rFonts w:cstheme="minorHAnsi"/>
          <w:b/>
          <w:bCs/>
          <w:i w:val="0"/>
          <w:iCs w:val="0"/>
          <w:color w:val="auto"/>
        </w:rPr>
        <w:t>1</w:t>
      </w:r>
      <w:r w:rsidR="00B8039E">
        <w:rPr>
          <w:rFonts w:cstheme="minorHAnsi"/>
          <w:b/>
          <w:bCs/>
          <w:i w:val="0"/>
          <w:iCs w:val="0"/>
          <w:color w:val="auto"/>
        </w:rPr>
        <w:t>3</w:t>
      </w:r>
      <w:r w:rsidR="00FC788E">
        <w:rPr>
          <w:rFonts w:cstheme="minorHAnsi"/>
          <w:b/>
          <w:bCs/>
          <w:i w:val="0"/>
          <w:iCs w:val="0"/>
          <w:color w:val="auto"/>
        </w:rPr>
        <w:t xml:space="preserve">. </w:t>
      </w:r>
      <w:r w:rsidRPr="00D37A36">
        <w:rPr>
          <w:rFonts w:cstheme="minorHAnsi"/>
          <w:i w:val="0"/>
          <w:iCs w:val="0"/>
          <w:color w:val="auto"/>
        </w:rPr>
        <w:t>Yearly wet meadow vegetation type predicted from annual groundwater depth statistics (L</w:t>
      </w:r>
      <w:r w:rsidRPr="00D37A36">
        <w:rPr>
          <w:rFonts w:cstheme="minorHAnsi"/>
          <w:i w:val="0"/>
          <w:iCs w:val="0"/>
          <w:color w:val="auto"/>
          <w:vertAlign w:val="subscript"/>
        </w:rPr>
        <w:t>7th</w:t>
      </w:r>
      <w:r w:rsidRPr="00D37A36">
        <w:rPr>
          <w:rFonts w:cstheme="minorHAnsi"/>
          <w:i w:val="0"/>
          <w:iCs w:val="0"/>
          <w:color w:val="auto"/>
        </w:rPr>
        <w:t>) at the Fox (top) and Binfield (bottom) sites. Vegetation categories and methodology after Henszey et al., (2004). Truncated surface in 2020 due to missing data.</w:t>
      </w:r>
      <w:bookmarkEnd w:id="183"/>
    </w:p>
    <w:p w14:paraId="625C8F60" w14:textId="77777777" w:rsidR="00584269" w:rsidRPr="00030021" w:rsidRDefault="00584269" w:rsidP="00584269">
      <w:pPr>
        <w:pStyle w:val="ListParagraph"/>
        <w:numPr>
          <w:ilvl w:val="0"/>
          <w:numId w:val="3"/>
        </w:numPr>
      </w:pPr>
      <w:r>
        <w:t>We demonstrate a method for developing hydrologic management and restoration targets that integrate the characteristic mosaic of vegetation (i.e., emergent, sedge meadow, mesic prairie, and dry ridge) and the corresponding groundwater depths that are found at natural, functioning wet meadows.</w:t>
      </w:r>
    </w:p>
    <w:p w14:paraId="13F54034" w14:textId="77777777" w:rsidR="00584269" w:rsidRPr="00030021" w:rsidRDefault="00584269" w:rsidP="00584269">
      <w:pPr>
        <w:pStyle w:val="ListParagraph"/>
        <w:numPr>
          <w:ilvl w:val="0"/>
          <w:numId w:val="3"/>
        </w:numPr>
      </w:pPr>
      <w:r>
        <w:t xml:space="preserve">Relative elevation differences between the river channel and adjacent valley floor suggest that </w:t>
      </w:r>
      <w:r w:rsidRPr="00030021">
        <w:t xml:space="preserve">the eastern AHR </w:t>
      </w:r>
      <w:r>
        <w:t>may have ‘wetter’ conditions necessary for</w:t>
      </w:r>
      <w:r w:rsidRPr="00030021">
        <w:t xml:space="preserve"> su</w:t>
      </w:r>
      <w:r>
        <w:t>pporting</w:t>
      </w:r>
      <w:r w:rsidRPr="00030021">
        <w:t xml:space="preserve"> functional wet meadows </w:t>
      </w:r>
      <w:r>
        <w:t>as compared to</w:t>
      </w:r>
      <w:r w:rsidRPr="00030021">
        <w:t xml:space="preserve"> </w:t>
      </w:r>
      <w:r>
        <w:t>the western AHR</w:t>
      </w:r>
      <w:r w:rsidRPr="00030021">
        <w:t>.</w:t>
      </w:r>
    </w:p>
    <w:p w14:paraId="42ACB4B3" w14:textId="77777777" w:rsidR="00584269" w:rsidRPr="00030021" w:rsidRDefault="00584269" w:rsidP="00584269">
      <w:pPr>
        <w:pStyle w:val="ListParagraph"/>
        <w:numPr>
          <w:ilvl w:val="0"/>
          <w:numId w:val="3"/>
        </w:numPr>
      </w:pPr>
      <w:r w:rsidRPr="00030021">
        <w:t>Re</w:t>
      </w:r>
      <w:r>
        <w:t xml:space="preserve">lative </w:t>
      </w:r>
      <w:r w:rsidRPr="00030021">
        <w:t xml:space="preserve">elevation differences between river surface and </w:t>
      </w:r>
      <w:r>
        <w:t>valley</w:t>
      </w:r>
      <w:r w:rsidRPr="00030021">
        <w:t xml:space="preserve"> surface provide useful </w:t>
      </w:r>
      <w:r>
        <w:t xml:space="preserve">hydrologic indicator </w:t>
      </w:r>
      <w:r w:rsidRPr="00030021">
        <w:t xml:space="preserve">maps, comparable to those generated using detailed groundwater datasets, for assessing hydrology at potential wet meadow sites. </w:t>
      </w:r>
    </w:p>
    <w:p w14:paraId="769D1E80" w14:textId="77777777" w:rsidR="00584269" w:rsidRDefault="00584269" w:rsidP="00584269"/>
    <w:p w14:paraId="04A80EC9" w14:textId="77777777" w:rsidR="00584269" w:rsidRDefault="00584269" w:rsidP="00615E4C">
      <w:pPr>
        <w:pStyle w:val="Heading2"/>
      </w:pPr>
      <w:bookmarkStart w:id="184" w:name="_Toc155880624"/>
      <w:bookmarkStart w:id="185" w:name="_Toc157060277"/>
      <w:r>
        <w:t>We estimate with confidence that:</w:t>
      </w:r>
      <w:bookmarkEnd w:id="184"/>
      <w:bookmarkEnd w:id="185"/>
    </w:p>
    <w:p w14:paraId="3E4BF948" w14:textId="77777777" w:rsidR="00584269" w:rsidRDefault="00584269" w:rsidP="00584269">
      <w:pPr>
        <w:pStyle w:val="ListParagraph"/>
        <w:numPr>
          <w:ilvl w:val="0"/>
          <w:numId w:val="3"/>
        </w:numPr>
      </w:pPr>
      <w:r>
        <w:t>Tools developed in this study can guide management and restoration targets and help land managers identify sites with greater hydrologic potential for supporting wet meadows.</w:t>
      </w:r>
    </w:p>
    <w:p w14:paraId="03A704D8" w14:textId="77777777" w:rsidR="00584269" w:rsidRDefault="00584269" w:rsidP="00584269"/>
    <w:p w14:paraId="39718319" w14:textId="77777777" w:rsidR="00584269" w:rsidRDefault="00584269" w:rsidP="00615E4C">
      <w:pPr>
        <w:pStyle w:val="Heading2"/>
      </w:pPr>
      <w:bookmarkStart w:id="186" w:name="_Toc155880625"/>
      <w:bookmarkStart w:id="187" w:name="_Toc157060278"/>
      <w:r>
        <w:t>Answering EBQ #10 during the Extension:</w:t>
      </w:r>
      <w:bookmarkEnd w:id="186"/>
      <w:bookmarkEnd w:id="187"/>
    </w:p>
    <w:p w14:paraId="52BF2B80" w14:textId="77777777" w:rsidR="00584269" w:rsidRDefault="00584269" w:rsidP="00584269">
      <w:pPr>
        <w:pStyle w:val="ListParagraph"/>
        <w:numPr>
          <w:ilvl w:val="0"/>
          <w:numId w:val="3"/>
        </w:numPr>
      </w:pPr>
      <w:r>
        <w:t xml:space="preserve">The wet meadow hydrology study has been completed and is currently undergoing peer review. The results of the peer review process will be used to determine if further work is necessary to address outstanding uncertainties. </w:t>
      </w:r>
    </w:p>
    <w:p w14:paraId="0AF4AA0A" w14:textId="77777777" w:rsidR="00584269" w:rsidRDefault="00584269" w:rsidP="00584269"/>
    <w:p w14:paraId="672C019F" w14:textId="77777777" w:rsidR="00584269" w:rsidRDefault="00584269" w:rsidP="00615E4C">
      <w:pPr>
        <w:pStyle w:val="Heading2"/>
      </w:pPr>
      <w:bookmarkStart w:id="188" w:name="_Toc155880626"/>
      <w:bookmarkStart w:id="189" w:name="_Toc157060279"/>
      <w:r>
        <w:t>Management implications:</w:t>
      </w:r>
      <w:bookmarkEnd w:id="188"/>
      <w:bookmarkEnd w:id="189"/>
    </w:p>
    <w:p w14:paraId="1E470F40" w14:textId="77777777" w:rsidR="00584269" w:rsidRDefault="00584269" w:rsidP="00584269">
      <w:pPr>
        <w:pStyle w:val="ListParagraph"/>
        <w:numPr>
          <w:ilvl w:val="0"/>
          <w:numId w:val="3"/>
        </w:numPr>
      </w:pPr>
      <w:r>
        <w:t>The Program’s native Binfield site has shallower groundwater to support a typical wet meadow community over a large proportion of the site.</w:t>
      </w:r>
    </w:p>
    <w:p w14:paraId="2720BF9A" w14:textId="77777777" w:rsidR="00584269" w:rsidRDefault="00584269" w:rsidP="00584269">
      <w:pPr>
        <w:pStyle w:val="ListParagraph"/>
        <w:numPr>
          <w:ilvl w:val="0"/>
          <w:numId w:val="3"/>
        </w:numPr>
      </w:pPr>
      <w:r>
        <w:t>The Program’s restored Fox site is able to support wet meadow vegetation in an area limited to the edges of excavations that bring the surface closer to groundwater. Substantial excavation would be required across the site to reduce depth to groundwater enough to support wet meadow vegetation across 50% of the site. Surface recharge was a more viable option than increasing river stage at this site to raise groundwater enough to support wet meadow vegetation over 50% of the site.</w:t>
      </w:r>
    </w:p>
    <w:p w14:paraId="2E633703" w14:textId="77777777" w:rsidR="00584269" w:rsidRDefault="00584269" w:rsidP="00584269">
      <w:pPr>
        <w:pStyle w:val="ListParagraph"/>
        <w:numPr>
          <w:ilvl w:val="0"/>
          <w:numId w:val="3"/>
        </w:numPr>
      </w:pPr>
      <w:r>
        <w:t>We provide a suite of hydrological variables linked to wet meadow vegetation that can be used to evaluate the likelihood that a given site will have the appropriate hydrology or could be managed to improve the hydrology enough to support a wet meadow on some proportion of the site.</w:t>
      </w:r>
    </w:p>
    <w:p w14:paraId="2F422D2E" w14:textId="77777777" w:rsidR="00584269" w:rsidRDefault="00584269" w:rsidP="00584269">
      <w:pPr>
        <w:pStyle w:val="ListParagraph"/>
        <w:numPr>
          <w:ilvl w:val="0"/>
          <w:numId w:val="3"/>
        </w:numPr>
      </w:pPr>
      <w:r>
        <w:t>We also provide a remotely sensed tool for assessing a site’s hydrologic potential for supporting a wet meadow.</w:t>
      </w:r>
    </w:p>
    <w:p w14:paraId="4A2E8124" w14:textId="79EC8BDA" w:rsidR="00345CC1" w:rsidRPr="00345CC1" w:rsidRDefault="00584269" w:rsidP="00345CC1">
      <w:pPr>
        <w:pStyle w:val="ListParagraph"/>
        <w:numPr>
          <w:ilvl w:val="0"/>
          <w:numId w:val="3"/>
        </w:numPr>
        <w:sectPr w:rsidR="00345CC1" w:rsidRPr="00345CC1" w:rsidSect="005B280F">
          <w:pgSz w:w="12240" w:h="15840"/>
          <w:pgMar w:top="1440" w:right="1440" w:bottom="1440" w:left="1440" w:header="720" w:footer="720" w:gutter="0"/>
          <w:lnNumType w:countBy="1" w:restart="newSection"/>
          <w:cols w:space="720"/>
          <w:docGrid w:linePitch="360"/>
        </w:sectPr>
      </w:pPr>
      <w:r>
        <w:t>Program stakeholders will integrate learning from this study, continued analyses on the importance of wet meadows for whooping cranes, and vegetation response to Program land management to assess whether there is a need to redefine wet meadows for integration into Program science and management.</w:t>
      </w:r>
    </w:p>
    <w:p w14:paraId="5680D6AD" w14:textId="34A75A42" w:rsidR="00287775" w:rsidRDefault="00943134" w:rsidP="00217D49">
      <w:pPr>
        <w:pStyle w:val="Heading1"/>
      </w:pPr>
      <w:bookmarkStart w:id="190" w:name="_Toc157060280"/>
      <w:bookmarkStart w:id="191" w:name="_Hlk155335533"/>
      <w:r>
        <w:t xml:space="preserve">Appendix A: </w:t>
      </w:r>
      <w:r w:rsidR="00287775">
        <w:t>Five-year Check-Ins on First Increment Learning</w:t>
      </w:r>
      <w:bookmarkEnd w:id="190"/>
    </w:p>
    <w:p w14:paraId="3A388DD2" w14:textId="77777777" w:rsidR="00287775" w:rsidRDefault="00287775" w:rsidP="00287775"/>
    <w:p w14:paraId="73F05E20" w14:textId="31D610B0" w:rsidR="00287775" w:rsidRPr="00473681" w:rsidRDefault="00287775" w:rsidP="00287775">
      <w:pPr>
        <w:pStyle w:val="Heading1"/>
      </w:pPr>
      <w:bookmarkStart w:id="192" w:name="_Toc155880628"/>
      <w:bookmarkStart w:id="193" w:name="_Toc157060281"/>
      <w:r w:rsidRPr="006521CC">
        <w:t>First Increment Big Question #</w:t>
      </w:r>
      <w:r w:rsidR="00F26DCD" w:rsidRPr="006521CC">
        <w:t>5</w:t>
      </w:r>
      <w:r w:rsidRPr="006521CC">
        <w:t xml:space="preserve"> – </w:t>
      </w:r>
      <w:r w:rsidRPr="006521CC">
        <w:rPr>
          <w:i/>
          <w:iCs/>
        </w:rPr>
        <w:t>Do</w:t>
      </w:r>
      <w:r>
        <w:rPr>
          <w:i/>
          <w:iCs/>
        </w:rPr>
        <w:t xml:space="preserve"> </w:t>
      </w:r>
      <w:r w:rsidR="00F26DCD">
        <w:rPr>
          <w:i/>
          <w:iCs/>
        </w:rPr>
        <w:t>whooping cranes select suitable riverine roosting</w:t>
      </w:r>
      <w:r>
        <w:rPr>
          <w:i/>
          <w:iCs/>
        </w:rPr>
        <w:t xml:space="preserve"> habitat in proportion</w:t>
      </w:r>
      <w:r w:rsidR="00F26DCD">
        <w:rPr>
          <w:i/>
          <w:iCs/>
        </w:rPr>
        <w:t>s equal</w:t>
      </w:r>
      <w:r>
        <w:rPr>
          <w:i/>
          <w:iCs/>
        </w:rPr>
        <w:t xml:space="preserve"> to </w:t>
      </w:r>
      <w:r w:rsidR="00F26DCD">
        <w:rPr>
          <w:i/>
          <w:iCs/>
        </w:rPr>
        <w:t xml:space="preserve">its </w:t>
      </w:r>
      <w:r>
        <w:rPr>
          <w:i/>
          <w:iCs/>
        </w:rPr>
        <w:t>availability</w:t>
      </w:r>
      <w:r w:rsidR="00F26DCD">
        <w:rPr>
          <w:i/>
          <w:iCs/>
        </w:rPr>
        <w:t>?</w:t>
      </w:r>
      <w:bookmarkEnd w:id="192"/>
      <w:bookmarkEnd w:id="193"/>
      <w:r>
        <w:rPr>
          <w:i/>
          <w:iCs/>
        </w:rPr>
        <w:t xml:space="preserve"> </w:t>
      </w:r>
    </w:p>
    <w:p w14:paraId="6757E5C3" w14:textId="77777777" w:rsidR="00287775" w:rsidRPr="00E03DB7" w:rsidRDefault="00287775" w:rsidP="00287775"/>
    <w:p w14:paraId="1AE88C29" w14:textId="77777777" w:rsidR="00795AD5" w:rsidRPr="00C42998" w:rsidRDefault="00795AD5" w:rsidP="00615E4C">
      <w:pPr>
        <w:pStyle w:val="Heading2"/>
      </w:pPr>
      <w:bookmarkStart w:id="194" w:name="_Toc155880629"/>
      <w:bookmarkStart w:id="195" w:name="_Toc157060282"/>
      <w:bookmarkEnd w:id="191"/>
      <w:r w:rsidRPr="00C42998">
        <w:t>2024 Assessment:</w:t>
      </w:r>
      <w:bookmarkEnd w:id="194"/>
      <w:bookmarkEnd w:id="195"/>
    </w:p>
    <w:p w14:paraId="6655CDC5" w14:textId="77777777" w:rsidR="00795AD5" w:rsidRPr="003B7388" w:rsidRDefault="00795AD5" w:rsidP="00795AD5">
      <w:pPr>
        <w:pStyle w:val="ListParagraph"/>
        <w:numPr>
          <w:ilvl w:val="0"/>
          <w:numId w:val="13"/>
        </w:numPr>
        <w:ind w:left="360"/>
      </w:pPr>
      <w:r w:rsidRPr="003B7388">
        <w:t xml:space="preserve">Whooping cranes select river channels with unobstructed views of at least 650 ft and </w:t>
      </w:r>
      <w:r>
        <w:t xml:space="preserve">distance to </w:t>
      </w:r>
      <w:r w:rsidRPr="003B7388">
        <w:t xml:space="preserve">nearest forest </w:t>
      </w:r>
      <w:r>
        <w:t xml:space="preserve">approximately </w:t>
      </w:r>
      <w:r w:rsidRPr="003B7388">
        <w:t>550 ft more often than predicted by availability.</w:t>
      </w:r>
    </w:p>
    <w:p w14:paraId="04C3E659" w14:textId="77777777" w:rsidR="00795AD5" w:rsidRPr="003B7388" w:rsidRDefault="00795AD5" w:rsidP="00795AD5">
      <w:pPr>
        <w:pStyle w:val="ListParagraph"/>
        <w:numPr>
          <w:ilvl w:val="0"/>
          <w:numId w:val="13"/>
        </w:numPr>
        <w:ind w:left="360"/>
      </w:pPr>
      <w:r w:rsidRPr="003B7388">
        <w:t>Whooping cranes also select riverine roosts in areas without roads or urban/suburban development within 0.77 miles</w:t>
      </w:r>
      <w:r>
        <w:t xml:space="preserve"> more often than predicted by availability</w:t>
      </w:r>
      <w:r w:rsidRPr="003B7388">
        <w:t>.</w:t>
      </w:r>
    </w:p>
    <w:p w14:paraId="6A688765" w14:textId="77777777" w:rsidR="00795AD5" w:rsidRPr="003B7388" w:rsidRDefault="00795AD5" w:rsidP="00795AD5"/>
    <w:p w14:paraId="471F2E31" w14:textId="77777777" w:rsidR="00795AD5" w:rsidRPr="003B7388" w:rsidRDefault="00795AD5" w:rsidP="00615E4C">
      <w:pPr>
        <w:pStyle w:val="Heading2"/>
      </w:pPr>
      <w:bookmarkStart w:id="196" w:name="_Toc155880630"/>
      <w:bookmarkStart w:id="197" w:name="_Toc157060283"/>
      <w:r w:rsidRPr="003B7388">
        <w:t>What the science says in 2024:</w:t>
      </w:r>
      <w:bookmarkEnd w:id="196"/>
      <w:bookmarkEnd w:id="197"/>
    </w:p>
    <w:p w14:paraId="123BFB59" w14:textId="77777777" w:rsidR="00795AD5" w:rsidRPr="003B7388" w:rsidRDefault="00795AD5" w:rsidP="00795AD5">
      <w:pPr>
        <w:pStyle w:val="ListParagraph"/>
        <w:numPr>
          <w:ilvl w:val="0"/>
          <w:numId w:val="3"/>
        </w:numPr>
      </w:pPr>
      <w:r w:rsidRPr="003B7388">
        <w:t>Roost selection by whooping cranes is largely determined by in-channel characteristics including unobstructed views and distance to nearest forest.</w:t>
      </w:r>
    </w:p>
    <w:p w14:paraId="22264E3D" w14:textId="38EABA15" w:rsidR="00795AD5" w:rsidRDefault="00795AD5" w:rsidP="00795AD5">
      <w:pPr>
        <w:pStyle w:val="ListParagraph"/>
        <w:numPr>
          <w:ilvl w:val="0"/>
          <w:numId w:val="3"/>
        </w:numPr>
      </w:pPr>
      <w:r>
        <w:t xml:space="preserve">Whooping crane selection of roosts </w:t>
      </w:r>
      <w:r w:rsidRPr="003B7388">
        <w:t xml:space="preserve">was statistically similar </w:t>
      </w:r>
      <w:r>
        <w:t>for unobstructed channel widths of</w:t>
      </w:r>
      <w:r w:rsidRPr="003B7388">
        <w:t xml:space="preserve"> 51</w:t>
      </w:r>
      <w:r w:rsidR="00D65DE8">
        <w:t>4</w:t>
      </w:r>
      <w:r w:rsidRPr="003B7388">
        <w:t xml:space="preserve"> ft to 1102 ft due to overlapping confidence intervals </w:t>
      </w:r>
      <w:r w:rsidRPr="00373AD3">
        <w:t>(</w:t>
      </w:r>
      <w:r w:rsidRPr="00373AD3">
        <w:rPr>
          <w:b/>
          <w:bCs/>
        </w:rPr>
        <w:t xml:space="preserve">Figure </w:t>
      </w:r>
      <w:r w:rsidR="00373AD3" w:rsidRPr="00373AD3">
        <w:rPr>
          <w:b/>
          <w:bCs/>
        </w:rPr>
        <w:t>1</w:t>
      </w:r>
      <w:r w:rsidR="00B8039E">
        <w:rPr>
          <w:b/>
          <w:bCs/>
        </w:rPr>
        <w:t>4</w:t>
      </w:r>
      <w:r w:rsidRPr="00373AD3">
        <w:t>)</w:t>
      </w:r>
      <w:r w:rsidR="007A2A95" w:rsidRPr="00373AD3">
        <w:t>.</w:t>
      </w:r>
      <w:r w:rsidR="007A2A95" w:rsidRPr="003B7388">
        <w:t xml:space="preserve"> </w:t>
      </w:r>
      <w:r>
        <w:t>Any gains in whooping crane roosting can be expected to be smaller and more uncertain as channel width increases beyond 51</w:t>
      </w:r>
      <w:r w:rsidR="00D65DE8">
        <w:t>4</w:t>
      </w:r>
      <w:r>
        <w:t xml:space="preserve"> ft.</w:t>
      </w:r>
    </w:p>
    <w:p w14:paraId="329449E3" w14:textId="77777777" w:rsidR="00795AD5" w:rsidRDefault="00795AD5" w:rsidP="00795AD5">
      <w:pPr>
        <w:pStyle w:val="ListParagraph"/>
        <w:numPr>
          <w:ilvl w:val="0"/>
          <w:numId w:val="3"/>
        </w:numPr>
      </w:pPr>
      <w:r w:rsidRPr="003B7388">
        <w:t xml:space="preserve">Although several off-channel </w:t>
      </w:r>
      <w:r>
        <w:t xml:space="preserve">landcover </w:t>
      </w:r>
      <w:r w:rsidRPr="003B7388">
        <w:t xml:space="preserve">metrics were evaluated, only development </w:t>
      </w:r>
      <w:r>
        <w:t xml:space="preserve">significantly </w:t>
      </w:r>
      <w:r w:rsidRPr="003B7388">
        <w:t>influenced riverine roost site selection.</w:t>
      </w:r>
    </w:p>
    <w:p w14:paraId="7DE34721" w14:textId="77777777" w:rsidR="00795AD5" w:rsidRPr="003B7388" w:rsidRDefault="00795AD5" w:rsidP="00795AD5">
      <w:pPr>
        <w:pStyle w:val="ListParagraph"/>
        <w:numPr>
          <w:ilvl w:val="0"/>
          <w:numId w:val="3"/>
        </w:numPr>
      </w:pPr>
      <w:r>
        <w:t>Similar</w:t>
      </w:r>
      <w:r w:rsidRPr="003B7388">
        <w:t xml:space="preserve"> patterns of roost selection </w:t>
      </w:r>
      <w:r>
        <w:t>were found</w:t>
      </w:r>
      <w:r w:rsidRPr="003B7388">
        <w:t xml:space="preserve"> when roosts </w:t>
      </w:r>
      <w:r>
        <w:t>were</w:t>
      </w:r>
      <w:r w:rsidRPr="003B7388">
        <w:t xml:space="preserve"> identified by other systematic monitoring techniques (i.e., cellular telemetry data).</w:t>
      </w:r>
    </w:p>
    <w:p w14:paraId="132CA9A3" w14:textId="77777777" w:rsidR="00795AD5" w:rsidRPr="003B7388" w:rsidRDefault="00795AD5" w:rsidP="00795AD5"/>
    <w:p w14:paraId="33749461" w14:textId="77777777" w:rsidR="00795AD5" w:rsidRPr="003B7388" w:rsidRDefault="00795AD5" w:rsidP="00615E4C">
      <w:pPr>
        <w:pStyle w:val="Heading2"/>
      </w:pPr>
      <w:bookmarkStart w:id="198" w:name="_Toc155880631"/>
      <w:bookmarkStart w:id="199" w:name="_Toc157060284"/>
      <w:r w:rsidRPr="003B7388">
        <w:t>We estimate with confidence that:</w:t>
      </w:r>
      <w:bookmarkEnd w:id="198"/>
      <w:bookmarkEnd w:id="199"/>
    </w:p>
    <w:p w14:paraId="1A6D0FA1" w14:textId="77777777" w:rsidR="00795AD5" w:rsidRPr="003B7388" w:rsidRDefault="00795AD5" w:rsidP="00795AD5">
      <w:pPr>
        <w:pStyle w:val="ListParagraph"/>
        <w:numPr>
          <w:ilvl w:val="0"/>
          <w:numId w:val="3"/>
        </w:numPr>
      </w:pPr>
      <w:r>
        <w:t>Suitable whooping crane roosting habitat has at least 650 ft of unobstructed channel width and allows the crane to roost 550 ft away from nearest trees.</w:t>
      </w:r>
    </w:p>
    <w:p w14:paraId="64FD446A" w14:textId="77777777" w:rsidR="00795AD5" w:rsidRPr="003B7388" w:rsidRDefault="00795AD5" w:rsidP="00795AD5">
      <w:pPr>
        <w:pStyle w:val="ListParagraph"/>
        <w:numPr>
          <w:ilvl w:val="0"/>
          <w:numId w:val="3"/>
        </w:numPr>
      </w:pPr>
      <w:r w:rsidRPr="003B7388">
        <w:t xml:space="preserve">Any development near the river channel decreases suitability for roosting by whooping cranes. </w:t>
      </w:r>
    </w:p>
    <w:p w14:paraId="633687CC" w14:textId="77777777" w:rsidR="00795AD5" w:rsidRDefault="00795AD5" w:rsidP="00795AD5">
      <w:pPr>
        <w:pStyle w:val="ListParagraph"/>
        <w:ind w:left="360"/>
      </w:pPr>
    </w:p>
    <w:p w14:paraId="3E048F86" w14:textId="77777777" w:rsidR="00795AD5" w:rsidRDefault="00795AD5" w:rsidP="00615E4C">
      <w:pPr>
        <w:pStyle w:val="Heading2"/>
      </w:pPr>
      <w:bookmarkStart w:id="200" w:name="_Toc155880632"/>
      <w:bookmarkStart w:id="201" w:name="_Toc157060285"/>
      <w:r>
        <w:t>Answering First Increment Big Question #5 during the Extension:</w:t>
      </w:r>
      <w:bookmarkEnd w:id="200"/>
      <w:bookmarkEnd w:id="201"/>
    </w:p>
    <w:p w14:paraId="5002EF88" w14:textId="77777777" w:rsidR="00795AD5" w:rsidRDefault="00795AD5" w:rsidP="00795AD5">
      <w:pPr>
        <w:pStyle w:val="ListParagraph"/>
        <w:numPr>
          <w:ilvl w:val="0"/>
          <w:numId w:val="3"/>
        </w:numPr>
      </w:pPr>
      <w:r>
        <w:t>The Extension Science Plan includes 5-year check ins on learning about whooping crane roosting habitat.</w:t>
      </w:r>
    </w:p>
    <w:p w14:paraId="1BAC04CF" w14:textId="77777777" w:rsidR="00795AD5" w:rsidRDefault="00795AD5" w:rsidP="00795AD5">
      <w:pPr>
        <w:pStyle w:val="ListParagraph"/>
        <w:numPr>
          <w:ilvl w:val="0"/>
          <w:numId w:val="3"/>
        </w:numPr>
      </w:pPr>
      <w:r>
        <w:t>Our first multi-year analysis, including data from 2001 – 2022, has been completed, integrating a finer scale landcover product from which to measure habitat metrics and including both on- and off-channel variables to explain roost site selection.</w:t>
      </w:r>
    </w:p>
    <w:p w14:paraId="314128DB" w14:textId="77777777" w:rsidR="00795AD5" w:rsidRDefault="00795AD5" w:rsidP="00795AD5">
      <w:pPr>
        <w:pStyle w:val="ListParagraph"/>
        <w:numPr>
          <w:ilvl w:val="0"/>
          <w:numId w:val="3"/>
        </w:numPr>
      </w:pPr>
      <w:r>
        <w:t>A second-round analysis is scheduled for 2027.</w:t>
      </w:r>
    </w:p>
    <w:p w14:paraId="2BC9211E" w14:textId="77777777" w:rsidR="00795AD5" w:rsidRDefault="00795AD5" w:rsidP="00795AD5">
      <w:pPr>
        <w:pStyle w:val="ListParagraph"/>
        <w:ind w:left="360"/>
      </w:pPr>
    </w:p>
    <w:p w14:paraId="5E084148" w14:textId="77777777" w:rsidR="00795AD5" w:rsidRDefault="00795AD5" w:rsidP="00615E4C">
      <w:pPr>
        <w:pStyle w:val="Heading2"/>
      </w:pPr>
      <w:bookmarkStart w:id="202" w:name="_Toc155880633"/>
      <w:bookmarkStart w:id="203" w:name="_Toc157060286"/>
      <w:r>
        <w:t>Management implications:</w:t>
      </w:r>
      <w:bookmarkEnd w:id="202"/>
      <w:bookmarkEnd w:id="203"/>
    </w:p>
    <w:p w14:paraId="61987B1E" w14:textId="1BC7D5DB" w:rsidR="00795AD5" w:rsidRDefault="00795AD5" w:rsidP="00795AD5">
      <w:pPr>
        <w:pStyle w:val="ListParagraph"/>
        <w:numPr>
          <w:ilvl w:val="0"/>
          <w:numId w:val="3"/>
        </w:numPr>
      </w:pPr>
      <w:r>
        <w:t xml:space="preserve">Program stakeholders are currently evaluating results to determine if a change in the Program’s criteria for suitable WC roosting habitat to increase unobstructed channel widths from </w:t>
      </w:r>
      <w:r>
        <w:rPr>
          <w:rFonts w:cs="Calibri"/>
        </w:rPr>
        <w:t>≥</w:t>
      </w:r>
      <w:r>
        <w:t>650 ft to 1100 ft is warranted.</w:t>
      </w:r>
    </w:p>
    <w:p w14:paraId="31B808F0" w14:textId="378A1BF8" w:rsidR="00795AD5" w:rsidRDefault="00D65DE8" w:rsidP="00D65DE8">
      <w:pPr>
        <w:spacing w:after="160" w:line="259" w:lineRule="auto"/>
        <w:jc w:val="center"/>
      </w:pPr>
      <w:r>
        <w:rPr>
          <w:rFonts w:ascii="Times New Roman" w:eastAsia="Times New Roman" w:hAnsi="Times New Roman" w:cs="Times New Roman"/>
          <w:b/>
          <w:bCs/>
          <w:noProof/>
        </w:rPr>
        <w:drawing>
          <wp:inline distT="0" distB="0" distL="0" distR="0" wp14:anchorId="485FB988" wp14:editId="1B5D7857">
            <wp:extent cx="4542739" cy="3865067"/>
            <wp:effectExtent l="0" t="0" r="0" b="2540"/>
            <wp:docPr id="1621895169" name="Picture 1" descr="A graph with a bar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95169" name="Picture 1" descr="A graph with a barcod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549796" cy="3871071"/>
                    </a:xfrm>
                    <a:prstGeom prst="rect">
                      <a:avLst/>
                    </a:prstGeom>
                  </pic:spPr>
                </pic:pic>
              </a:graphicData>
            </a:graphic>
          </wp:inline>
        </w:drawing>
      </w:r>
    </w:p>
    <w:p w14:paraId="6D684A1A" w14:textId="4A63C056" w:rsidR="00287775" w:rsidRPr="00D65DE8" w:rsidRDefault="00795AD5" w:rsidP="00287775">
      <w:pPr>
        <w:contextualSpacing/>
        <w:rPr>
          <w:rFonts w:asciiTheme="minorHAnsi" w:eastAsia="Times New Roman" w:hAnsiTheme="minorHAnsi" w:cstheme="minorHAnsi"/>
          <w:kern w:val="0"/>
          <w:sz w:val="18"/>
          <w:szCs w:val="18"/>
          <w14:ligatures w14:val="none"/>
        </w:rPr>
        <w:sectPr w:rsidR="00287775" w:rsidRPr="00D65DE8" w:rsidSect="005B280F">
          <w:pgSz w:w="12240" w:h="15840"/>
          <w:pgMar w:top="1440" w:right="1440" w:bottom="1440" w:left="1440" w:header="720" w:footer="720" w:gutter="0"/>
          <w:lnNumType w:countBy="1" w:restart="newSection"/>
          <w:cols w:space="720"/>
          <w:docGrid w:linePitch="360"/>
        </w:sectPr>
      </w:pPr>
      <w:r w:rsidRPr="00373AD3">
        <w:rPr>
          <w:rFonts w:asciiTheme="minorHAnsi" w:eastAsia="Times New Roman" w:hAnsiTheme="minorHAnsi" w:cstheme="minorHAnsi"/>
          <w:b/>
          <w:bCs/>
          <w:kern w:val="0"/>
          <w:sz w:val="18"/>
          <w:szCs w:val="18"/>
          <w14:ligatures w14:val="none"/>
        </w:rPr>
        <w:t xml:space="preserve">Figure </w:t>
      </w:r>
      <w:r w:rsidR="00373AD3" w:rsidRPr="00373AD3">
        <w:rPr>
          <w:rFonts w:asciiTheme="minorHAnsi" w:eastAsia="Times New Roman" w:hAnsiTheme="minorHAnsi" w:cstheme="minorHAnsi"/>
          <w:b/>
          <w:bCs/>
          <w:kern w:val="0"/>
          <w:sz w:val="18"/>
          <w:szCs w:val="18"/>
          <w14:ligatures w14:val="none"/>
        </w:rPr>
        <w:t>1</w:t>
      </w:r>
      <w:r w:rsidR="00B8039E">
        <w:rPr>
          <w:rFonts w:asciiTheme="minorHAnsi" w:eastAsia="Times New Roman" w:hAnsiTheme="minorHAnsi" w:cstheme="minorHAnsi"/>
          <w:b/>
          <w:bCs/>
          <w:kern w:val="0"/>
          <w:sz w:val="18"/>
          <w:szCs w:val="18"/>
          <w14:ligatures w14:val="none"/>
        </w:rPr>
        <w:t>4</w:t>
      </w:r>
      <w:r w:rsidRPr="00373AD3">
        <w:rPr>
          <w:rFonts w:asciiTheme="minorHAnsi" w:eastAsia="Times New Roman" w:hAnsiTheme="minorHAnsi" w:cstheme="minorHAnsi"/>
          <w:b/>
          <w:bCs/>
          <w:kern w:val="0"/>
          <w:sz w:val="18"/>
          <w:szCs w:val="18"/>
          <w14:ligatures w14:val="none"/>
        </w:rPr>
        <w:t>.</w:t>
      </w:r>
      <w:r w:rsidRPr="00443790">
        <w:rPr>
          <w:rFonts w:asciiTheme="minorHAnsi" w:eastAsia="Times New Roman" w:hAnsiTheme="minorHAnsi" w:cstheme="minorHAnsi"/>
          <w:kern w:val="0"/>
          <w:sz w:val="18"/>
          <w:szCs w:val="18"/>
          <w14:ligatures w14:val="none"/>
        </w:rPr>
        <w:t xml:space="preserve"> Relative selection ratios of whooping crane roosts collected by systematic aerial monitoring from spring 2001 – spring 2022 on the central Platte River in the Associated Habitat Reach. The solid line represents the average relationships between the 5</w:t>
      </w:r>
      <w:r w:rsidRPr="00443790">
        <w:rPr>
          <w:rFonts w:asciiTheme="minorHAnsi" w:eastAsia="Times New Roman" w:hAnsiTheme="minorHAnsi" w:cstheme="minorHAnsi"/>
          <w:kern w:val="0"/>
          <w:sz w:val="18"/>
          <w:szCs w:val="18"/>
          <w:vertAlign w:val="superscript"/>
          <w14:ligatures w14:val="none"/>
        </w:rPr>
        <w:t>th</w:t>
      </w:r>
      <w:r w:rsidRPr="00443790">
        <w:rPr>
          <w:rFonts w:asciiTheme="minorHAnsi" w:eastAsia="Times New Roman" w:hAnsiTheme="minorHAnsi" w:cstheme="minorHAnsi"/>
          <w:kern w:val="0"/>
          <w:sz w:val="18"/>
          <w:szCs w:val="18"/>
          <w14:ligatures w14:val="none"/>
        </w:rPr>
        <w:t xml:space="preserve"> and 95</w:t>
      </w:r>
      <w:r w:rsidRPr="00443790">
        <w:rPr>
          <w:rFonts w:asciiTheme="minorHAnsi" w:eastAsia="Times New Roman" w:hAnsiTheme="minorHAnsi" w:cstheme="minorHAnsi"/>
          <w:kern w:val="0"/>
          <w:sz w:val="18"/>
          <w:szCs w:val="18"/>
          <w:vertAlign w:val="superscript"/>
          <w14:ligatures w14:val="none"/>
        </w:rPr>
        <w:t>th</w:t>
      </w:r>
      <w:r w:rsidRPr="00443790">
        <w:rPr>
          <w:rFonts w:asciiTheme="minorHAnsi" w:eastAsia="Times New Roman" w:hAnsiTheme="minorHAnsi" w:cstheme="minorHAnsi"/>
          <w:kern w:val="0"/>
          <w:sz w:val="18"/>
          <w:szCs w:val="18"/>
          <w14:ligatures w14:val="none"/>
        </w:rPr>
        <w:t xml:space="preserve"> percentile of unobstructed channel width at roost locations, while the shaded area represents the 90% confidence interval. Tick marks at y=1 show values of unobstructed channel width at roosts and ticks at y=0 show available location values.</w:t>
      </w:r>
    </w:p>
    <w:p w14:paraId="15B08F71" w14:textId="68036734" w:rsidR="00D041EA" w:rsidRDefault="00287775" w:rsidP="003A4CDD">
      <w:pPr>
        <w:pStyle w:val="Heading1"/>
      </w:pPr>
      <w:bookmarkStart w:id="204" w:name="_Toc157060287"/>
      <w:r>
        <w:t xml:space="preserve">Appendix B: </w:t>
      </w:r>
      <w:r w:rsidR="00D041EA">
        <w:t>PRRIP Publications</w:t>
      </w:r>
      <w:bookmarkEnd w:id="204"/>
    </w:p>
    <w:p w14:paraId="480AFC17" w14:textId="10061CC9" w:rsidR="0029099E" w:rsidRDefault="0029099E" w:rsidP="00AB0DD5">
      <w:r>
        <w:t xml:space="preserve">Compass Resource Management Ltd. </w:t>
      </w:r>
      <w:r w:rsidR="00AB0DD5">
        <w:t xml:space="preserve">August </w:t>
      </w:r>
      <w:r>
        <w:t xml:space="preserve">2016. </w:t>
      </w:r>
      <w:r w:rsidR="0081150B">
        <w:t>Structured Decision Making for Interior Least Tern and Piping Plover Habitat on the Platte River – Final Report. Prepared for the Platte River Recovery Implementation Program</w:t>
      </w:r>
      <w:r w:rsidR="00FD6181">
        <w:t>, Kearney, NE.</w:t>
      </w:r>
    </w:p>
    <w:p w14:paraId="2E02FBF2" w14:textId="77777777" w:rsidR="0029099E" w:rsidRDefault="0029099E" w:rsidP="00AB0DD5"/>
    <w:p w14:paraId="2D4AABEB" w14:textId="76F323EF" w:rsidR="00415E0A" w:rsidRPr="00415E0A" w:rsidRDefault="00415E0A" w:rsidP="00AB0DD5">
      <w:pPr>
        <w:autoSpaceDE w:val="0"/>
        <w:autoSpaceDN w:val="0"/>
        <w:adjustRightInd w:val="0"/>
        <w:rPr>
          <w:rFonts w:asciiTheme="minorHAnsi" w:hAnsiTheme="minorHAnsi" w:cstheme="minorHAnsi"/>
        </w:rPr>
      </w:pPr>
      <w:r w:rsidRPr="00415E0A">
        <w:rPr>
          <w:rFonts w:asciiTheme="minorHAnsi" w:hAnsiTheme="minorHAnsi" w:cstheme="minorHAnsi"/>
        </w:rPr>
        <w:t xml:space="preserve">Farrell PD and Baasch DM. 2020. Reducing effort when monitoring shorebird productivity. </w:t>
      </w:r>
      <w:r w:rsidRPr="007457A0">
        <w:rPr>
          <w:rFonts w:asciiTheme="minorHAnsi" w:hAnsiTheme="minorHAnsi" w:cstheme="minorHAnsi"/>
        </w:rPr>
        <w:t>Waterbirds</w:t>
      </w:r>
      <w:r w:rsidRPr="00415E0A">
        <w:rPr>
          <w:rFonts w:asciiTheme="minorHAnsi" w:hAnsiTheme="minorHAnsi" w:cstheme="minorHAnsi"/>
        </w:rPr>
        <w:t xml:space="preserve"> 43(2): 123-133.</w:t>
      </w:r>
      <w:r w:rsidR="002A4F6E">
        <w:rPr>
          <w:rFonts w:asciiTheme="minorHAnsi" w:hAnsiTheme="minorHAnsi" w:cstheme="minorHAnsi"/>
        </w:rPr>
        <w:t xml:space="preserve"> </w:t>
      </w:r>
      <w:hyperlink r:id="rId46" w:history="1">
        <w:r w:rsidR="002A4F6E" w:rsidRPr="006B39E7">
          <w:rPr>
            <w:rStyle w:val="Hyperlink"/>
            <w:rFonts w:asciiTheme="minorHAnsi" w:hAnsiTheme="minorHAnsi" w:cstheme="minorHAnsi"/>
          </w:rPr>
          <w:t>https://doi.org/10.1675/063.043.0201</w:t>
        </w:r>
      </w:hyperlink>
    </w:p>
    <w:p w14:paraId="7EBBF648" w14:textId="77777777" w:rsidR="00415E0A" w:rsidRDefault="00415E0A" w:rsidP="00AB0DD5">
      <w:pPr>
        <w:rPr>
          <w:rFonts w:ascii="Times New Roman" w:hAnsi="Times New Roman" w:cs="Times New Roman"/>
          <w:sz w:val="18"/>
          <w:szCs w:val="18"/>
        </w:rPr>
      </w:pPr>
    </w:p>
    <w:p w14:paraId="4922A095" w14:textId="77777777" w:rsidR="00EF123B" w:rsidRPr="00EF123B" w:rsidRDefault="00EF123B" w:rsidP="00AB0DD5">
      <w:pPr>
        <w:pStyle w:val="NoSpacing"/>
        <w:rPr>
          <w:rStyle w:val="Hyperlink"/>
          <w:rFonts w:asciiTheme="minorHAnsi" w:hAnsiTheme="minorHAnsi" w:cstheme="minorHAnsi"/>
          <w:color w:val="auto"/>
        </w:rPr>
      </w:pPr>
      <w:r w:rsidRPr="00EF123B">
        <w:rPr>
          <w:rFonts w:asciiTheme="minorHAnsi" w:hAnsiTheme="minorHAnsi" w:cstheme="minorHAnsi"/>
        </w:rPr>
        <w:t>Keldsen KJ. 2021</w:t>
      </w:r>
      <w:r>
        <w:rPr>
          <w:rFonts w:asciiTheme="minorHAnsi" w:hAnsiTheme="minorHAnsi" w:cstheme="minorHAnsi"/>
        </w:rPr>
        <w:t>.Efficacy</w:t>
      </w:r>
      <w:r w:rsidRPr="00EF123B">
        <w:rPr>
          <w:rFonts w:asciiTheme="minorHAnsi" w:hAnsiTheme="minorHAnsi" w:cstheme="minorHAnsi"/>
        </w:rPr>
        <w:t xml:space="preserve"> of predator exclusion </w:t>
      </w:r>
      <w:r>
        <w:rPr>
          <w:rFonts w:asciiTheme="minorHAnsi" w:hAnsiTheme="minorHAnsi" w:cstheme="minorHAnsi"/>
        </w:rPr>
        <w:t xml:space="preserve">methods and ID of nest predators for interior least terns and piping plovers at </w:t>
      </w:r>
      <w:r w:rsidRPr="00EF123B">
        <w:rPr>
          <w:rFonts w:asciiTheme="minorHAnsi" w:hAnsiTheme="minorHAnsi" w:cstheme="minorHAnsi"/>
        </w:rPr>
        <w:t>off-channel nesting sites along the central Platte River</w:t>
      </w:r>
      <w:r>
        <w:rPr>
          <w:rFonts w:asciiTheme="minorHAnsi" w:hAnsiTheme="minorHAnsi" w:cstheme="minorHAnsi"/>
        </w:rPr>
        <w:t xml:space="preserve">, </w:t>
      </w:r>
      <w:r w:rsidRPr="00EF123B">
        <w:rPr>
          <w:rFonts w:asciiTheme="minorHAnsi" w:hAnsiTheme="minorHAnsi" w:cstheme="minorHAnsi"/>
        </w:rPr>
        <w:t xml:space="preserve">Nebraska, USA. </w:t>
      </w:r>
      <w:r>
        <w:rPr>
          <w:rFonts w:asciiTheme="minorHAnsi" w:hAnsiTheme="minorHAnsi" w:cstheme="minorHAnsi"/>
        </w:rPr>
        <w:t>MS Thesis</w:t>
      </w:r>
      <w:r w:rsidRPr="00EF123B">
        <w:rPr>
          <w:rFonts w:asciiTheme="minorHAnsi" w:hAnsiTheme="minorHAnsi" w:cstheme="minorHAnsi"/>
        </w:rPr>
        <w:t xml:space="preserve">, </w:t>
      </w:r>
      <w:r>
        <w:rPr>
          <w:rFonts w:asciiTheme="minorHAnsi" w:hAnsiTheme="minorHAnsi" w:cstheme="minorHAnsi"/>
        </w:rPr>
        <w:t>Biology Department,</w:t>
      </w:r>
      <w:r w:rsidRPr="00EF123B">
        <w:rPr>
          <w:rFonts w:asciiTheme="minorHAnsi" w:hAnsiTheme="minorHAnsi" w:cstheme="minorHAnsi"/>
        </w:rPr>
        <w:t xml:space="preserve"> University of Nebraska</w:t>
      </w:r>
      <w:r>
        <w:rPr>
          <w:rFonts w:asciiTheme="minorHAnsi" w:hAnsiTheme="minorHAnsi" w:cstheme="minorHAnsi"/>
        </w:rPr>
        <w:t>,</w:t>
      </w:r>
      <w:r w:rsidRPr="00EF123B">
        <w:rPr>
          <w:rFonts w:asciiTheme="minorHAnsi" w:hAnsiTheme="minorHAnsi" w:cstheme="minorHAnsi"/>
        </w:rPr>
        <w:t xml:space="preserve"> Kearney,</w:t>
      </w:r>
      <w:r>
        <w:rPr>
          <w:rFonts w:asciiTheme="minorHAnsi" w:hAnsiTheme="minorHAnsi" w:cstheme="minorHAnsi"/>
        </w:rPr>
        <w:t xml:space="preserve"> NE. </w:t>
      </w:r>
      <w:hyperlink r:id="rId47" w:history="1">
        <w:r w:rsidRPr="00EF123B">
          <w:rPr>
            <w:rStyle w:val="Hyperlink"/>
            <w:rFonts w:asciiTheme="minorHAnsi" w:hAnsiTheme="minorHAnsi" w:cstheme="minorHAnsi"/>
          </w:rPr>
          <w:t>ProQuest Dissertations Publishing 28645869</w:t>
        </w:r>
      </w:hyperlink>
      <w:r w:rsidRPr="00EF123B">
        <w:rPr>
          <w:rFonts w:asciiTheme="minorHAnsi" w:hAnsiTheme="minorHAnsi" w:cstheme="minorHAnsi"/>
        </w:rPr>
        <w:t>.</w:t>
      </w:r>
    </w:p>
    <w:p w14:paraId="0D2AD9FE" w14:textId="77777777" w:rsidR="00EF123B" w:rsidRDefault="00EF123B" w:rsidP="00AB0DD5"/>
    <w:p w14:paraId="6B024DF5" w14:textId="23ABB426" w:rsidR="002776BF" w:rsidRDefault="00415E0A" w:rsidP="00AB0DD5">
      <w:r>
        <w:t xml:space="preserve">Platte River Recovery Implementation Program (PRRIP). 2023. </w:t>
      </w:r>
      <w:r w:rsidR="002776BF" w:rsidRPr="00415E0A">
        <w:t xml:space="preserve">Wet Meadow </w:t>
      </w:r>
      <w:r w:rsidRPr="00415E0A">
        <w:t xml:space="preserve">Hydrology </w:t>
      </w:r>
      <w:r w:rsidR="002776BF" w:rsidRPr="00415E0A">
        <w:t xml:space="preserve">Study </w:t>
      </w:r>
      <w:r w:rsidRPr="00415E0A">
        <w:t xml:space="preserve"> (2013-2021)</w:t>
      </w:r>
      <w:r>
        <w:t xml:space="preserve"> </w:t>
      </w:r>
      <w:r w:rsidR="002776BF">
        <w:t>– in peer review</w:t>
      </w:r>
      <w:r>
        <w:t>.</w:t>
      </w:r>
    </w:p>
    <w:p w14:paraId="24B65197" w14:textId="77777777" w:rsidR="00415E0A" w:rsidRDefault="00415E0A" w:rsidP="00AB0DD5"/>
    <w:p w14:paraId="71DB55B2" w14:textId="5983B90C" w:rsidR="00415E0A" w:rsidRDefault="00415E0A" w:rsidP="00AB0DD5">
      <w:r>
        <w:t xml:space="preserve">Platte River Recovery Implementation Program (PRRIP). 2023. Sediment Augmentation Data Synthesis Compilation </w:t>
      </w:r>
      <w:r w:rsidR="00B70E4A">
        <w:t>–</w:t>
      </w:r>
      <w:r>
        <w:t xml:space="preserve"> peer review.</w:t>
      </w:r>
    </w:p>
    <w:p w14:paraId="5EDDAA4C" w14:textId="6DE421EA" w:rsidR="00257605" w:rsidRDefault="00257605" w:rsidP="00562562">
      <w:pPr>
        <w:sectPr w:rsidR="00257605" w:rsidSect="005B280F">
          <w:pgSz w:w="12240" w:h="15840"/>
          <w:pgMar w:top="1440" w:right="1440" w:bottom="1440" w:left="1440" w:header="720" w:footer="720" w:gutter="0"/>
          <w:lnNumType w:countBy="1" w:restart="newSection"/>
          <w:cols w:space="720"/>
          <w:docGrid w:linePitch="360"/>
        </w:sectPr>
      </w:pPr>
    </w:p>
    <w:p w14:paraId="313A9932" w14:textId="419DADE6" w:rsidR="00B7144A" w:rsidRDefault="00D041EA" w:rsidP="003A4CDD">
      <w:pPr>
        <w:pStyle w:val="Heading1"/>
      </w:pPr>
      <w:bookmarkStart w:id="205" w:name="_Toc157060288"/>
      <w:r>
        <w:t xml:space="preserve">Appendix </w:t>
      </w:r>
      <w:r w:rsidR="001015B7">
        <w:t>C</w:t>
      </w:r>
      <w:r>
        <w:t>: Additional Relevant Publications, Reports, and other Scientific Documents</w:t>
      </w:r>
      <w:bookmarkEnd w:id="205"/>
    </w:p>
    <w:p w14:paraId="017F4601" w14:textId="4F56EFD6" w:rsidR="00257605" w:rsidRPr="002A4F6E" w:rsidRDefault="007457A0" w:rsidP="00257605">
      <w:pPr>
        <w:pStyle w:val="NoSpacing"/>
        <w:rPr>
          <w:rFonts w:asciiTheme="minorHAnsi" w:eastAsia="Times New Roman" w:hAnsiTheme="minorHAnsi" w:cstheme="minorHAnsi"/>
        </w:rPr>
      </w:pPr>
      <w:r w:rsidRPr="007457A0">
        <w:rPr>
          <w:rFonts w:asciiTheme="minorHAnsi" w:hAnsiTheme="minorHAnsi" w:cstheme="minorHAnsi"/>
        </w:rPr>
        <w:t>Baasch, DM., Caven</w:t>
      </w:r>
      <w:r>
        <w:rPr>
          <w:rFonts w:asciiTheme="minorHAnsi" w:hAnsiTheme="minorHAnsi" w:cstheme="minorHAnsi"/>
        </w:rPr>
        <w:t xml:space="preserve"> AJ</w:t>
      </w:r>
      <w:r w:rsidRPr="007457A0">
        <w:rPr>
          <w:rFonts w:asciiTheme="minorHAnsi" w:hAnsiTheme="minorHAnsi" w:cstheme="minorHAnsi"/>
        </w:rPr>
        <w:t>, Jorgensen</w:t>
      </w:r>
      <w:r>
        <w:rPr>
          <w:rFonts w:asciiTheme="minorHAnsi" w:hAnsiTheme="minorHAnsi" w:cstheme="minorHAnsi"/>
        </w:rPr>
        <w:t xml:space="preserve"> JG</w:t>
      </w:r>
      <w:r w:rsidRPr="007457A0">
        <w:rPr>
          <w:rFonts w:asciiTheme="minorHAnsi" w:hAnsiTheme="minorHAnsi" w:cstheme="minorHAnsi"/>
        </w:rPr>
        <w:t>, Grosse</w:t>
      </w:r>
      <w:r>
        <w:rPr>
          <w:rFonts w:asciiTheme="minorHAnsi" w:hAnsiTheme="minorHAnsi" w:cstheme="minorHAnsi"/>
        </w:rPr>
        <w:t xml:space="preserve"> R</w:t>
      </w:r>
      <w:r w:rsidRPr="007457A0">
        <w:rPr>
          <w:rFonts w:asciiTheme="minorHAnsi" w:hAnsiTheme="minorHAnsi" w:cstheme="minorHAnsi"/>
        </w:rPr>
        <w:t>, Rabbe</w:t>
      </w:r>
      <w:r>
        <w:rPr>
          <w:rFonts w:asciiTheme="minorHAnsi" w:hAnsiTheme="minorHAnsi" w:cstheme="minorHAnsi"/>
        </w:rPr>
        <w:t xml:space="preserve"> M</w:t>
      </w:r>
      <w:r w:rsidRPr="007457A0">
        <w:rPr>
          <w:rFonts w:asciiTheme="minorHAnsi" w:hAnsiTheme="minorHAnsi" w:cstheme="minorHAnsi"/>
        </w:rPr>
        <w:t>, Varner</w:t>
      </w:r>
      <w:r>
        <w:rPr>
          <w:rFonts w:asciiTheme="minorHAnsi" w:hAnsiTheme="minorHAnsi" w:cstheme="minorHAnsi"/>
        </w:rPr>
        <w:t xml:space="preserve"> DM</w:t>
      </w:r>
      <w:r w:rsidRPr="007457A0">
        <w:rPr>
          <w:rFonts w:asciiTheme="minorHAnsi" w:hAnsiTheme="minorHAnsi" w:cstheme="minorHAnsi"/>
        </w:rPr>
        <w:t xml:space="preserve"> and LaGrange</w:t>
      </w:r>
      <w:r>
        <w:rPr>
          <w:rFonts w:asciiTheme="minorHAnsi" w:hAnsiTheme="minorHAnsi" w:cstheme="minorHAnsi"/>
        </w:rPr>
        <w:t xml:space="preserve"> T</w:t>
      </w:r>
      <w:r w:rsidRPr="007457A0">
        <w:rPr>
          <w:rFonts w:asciiTheme="minorHAnsi" w:hAnsiTheme="minorHAnsi" w:cstheme="minorHAnsi"/>
        </w:rPr>
        <w:t>. 2022. Whooping Crane (</w:t>
      </w:r>
      <w:r w:rsidRPr="007457A0">
        <w:rPr>
          <w:rFonts w:asciiTheme="minorHAnsi" w:hAnsiTheme="minorHAnsi" w:cstheme="minorHAnsi"/>
          <w:i/>
          <w:iCs/>
        </w:rPr>
        <w:t>Grus americana</w:t>
      </w:r>
      <w:r w:rsidRPr="007457A0">
        <w:rPr>
          <w:rFonts w:asciiTheme="minorHAnsi" w:hAnsiTheme="minorHAnsi" w:cstheme="minorHAnsi"/>
        </w:rPr>
        <w:t xml:space="preserve">) use patterns in relation to an </w:t>
      </w:r>
      <w:proofErr w:type="spellStart"/>
      <w:r w:rsidRPr="007457A0">
        <w:rPr>
          <w:rFonts w:asciiTheme="minorHAnsi" w:hAnsiTheme="minorHAnsi" w:cstheme="minorHAnsi"/>
        </w:rPr>
        <w:t>ecotope</w:t>
      </w:r>
      <w:proofErr w:type="spellEnd"/>
      <w:r w:rsidRPr="007457A0">
        <w:rPr>
          <w:rFonts w:asciiTheme="minorHAnsi" w:hAnsiTheme="minorHAnsi" w:cstheme="minorHAnsi"/>
        </w:rPr>
        <w:t xml:space="preserve"> classification in the Central Platte River Valley, Nebraska, USA. Avian Conservation and Ecology 17(2):35. </w:t>
      </w:r>
      <w:hyperlink r:id="rId48" w:history="1">
        <w:r w:rsidRPr="007457A0">
          <w:rPr>
            <w:rStyle w:val="Hyperlink"/>
            <w:rFonts w:asciiTheme="minorHAnsi" w:hAnsiTheme="minorHAnsi" w:cstheme="minorHAnsi"/>
          </w:rPr>
          <w:t>https://doi.org/10.5751/ACE-02311-170235</w:t>
        </w:r>
      </w:hyperlink>
    </w:p>
    <w:p w14:paraId="59E35325" w14:textId="77777777" w:rsidR="00625B05" w:rsidRDefault="00625B05" w:rsidP="00257605">
      <w:pPr>
        <w:pStyle w:val="NoSpacing"/>
        <w:rPr>
          <w:rStyle w:val="Hyperlink"/>
          <w:rFonts w:asciiTheme="minorHAnsi" w:hAnsiTheme="minorHAnsi" w:cstheme="minorHAnsi"/>
          <w:color w:val="auto"/>
          <w:u w:val="none"/>
          <w:bdr w:val="none" w:sz="0" w:space="0" w:color="auto" w:frame="1"/>
        </w:rPr>
      </w:pPr>
    </w:p>
    <w:p w14:paraId="48C0DE26" w14:textId="4ED50944" w:rsidR="00257605" w:rsidRPr="002A4F6E" w:rsidRDefault="00257605" w:rsidP="00257605">
      <w:pPr>
        <w:pStyle w:val="NoSpacing"/>
        <w:rPr>
          <w:rStyle w:val="Hyperlink"/>
          <w:rFonts w:asciiTheme="minorHAnsi" w:hAnsiTheme="minorHAnsi" w:cstheme="minorHAnsi"/>
          <w:color w:val="auto"/>
          <w:u w:val="none"/>
        </w:rPr>
      </w:pPr>
      <w:r w:rsidRPr="002A4F6E">
        <w:rPr>
          <w:rStyle w:val="Hyperlink"/>
          <w:rFonts w:asciiTheme="minorHAnsi" w:hAnsiTheme="minorHAnsi" w:cstheme="minorHAnsi"/>
          <w:color w:val="auto"/>
          <w:u w:val="none"/>
          <w:bdr w:val="none" w:sz="0" w:space="0" w:color="auto" w:frame="1"/>
        </w:rPr>
        <w:t xml:space="preserve">Baasch </w:t>
      </w:r>
      <w:r w:rsidR="00625B05">
        <w:rPr>
          <w:rStyle w:val="Hyperlink"/>
          <w:rFonts w:asciiTheme="minorHAnsi" w:hAnsiTheme="minorHAnsi" w:cstheme="minorHAnsi"/>
          <w:color w:val="auto"/>
          <w:u w:val="none"/>
          <w:bdr w:val="none" w:sz="0" w:space="0" w:color="auto" w:frame="1"/>
        </w:rPr>
        <w:t xml:space="preserve">DM, Rabbe M, Medaries AH, Schaaf MR, Ostrom BL, Wiese JD, Malzahn JM, Smith TJ. </w:t>
      </w:r>
      <w:r w:rsidRPr="002A4F6E">
        <w:rPr>
          <w:rStyle w:val="Hyperlink"/>
          <w:rFonts w:asciiTheme="minorHAnsi" w:hAnsiTheme="minorHAnsi" w:cstheme="minorHAnsi"/>
          <w:color w:val="auto"/>
          <w:u w:val="none"/>
          <w:bdr w:val="none" w:sz="0" w:space="0" w:color="auto" w:frame="1"/>
        </w:rPr>
        <w:t>202</w:t>
      </w:r>
      <w:r w:rsidR="00625B05">
        <w:rPr>
          <w:rStyle w:val="Hyperlink"/>
          <w:rFonts w:asciiTheme="minorHAnsi" w:hAnsiTheme="minorHAnsi" w:cstheme="minorHAnsi"/>
          <w:color w:val="auto"/>
          <w:u w:val="none"/>
          <w:bdr w:val="none" w:sz="0" w:space="0" w:color="auto" w:frame="1"/>
        </w:rPr>
        <w:t>3</w:t>
      </w:r>
      <w:r w:rsidRPr="002A4F6E">
        <w:rPr>
          <w:rStyle w:val="Hyperlink"/>
          <w:rFonts w:asciiTheme="minorHAnsi" w:hAnsiTheme="minorHAnsi" w:cstheme="minorHAnsi"/>
          <w:color w:val="auto"/>
          <w:u w:val="none"/>
          <w:bdr w:val="none" w:sz="0" w:space="0" w:color="auto" w:frame="1"/>
        </w:rPr>
        <w:t xml:space="preserve"> Record-sized flock of </w:t>
      </w:r>
      <w:r w:rsidR="007457A0">
        <w:rPr>
          <w:rStyle w:val="Hyperlink"/>
          <w:rFonts w:asciiTheme="minorHAnsi" w:hAnsiTheme="minorHAnsi" w:cstheme="minorHAnsi"/>
          <w:color w:val="auto"/>
          <w:u w:val="none"/>
          <w:bdr w:val="none" w:sz="0" w:space="0" w:color="auto" w:frame="1"/>
        </w:rPr>
        <w:t>W</w:t>
      </w:r>
      <w:r w:rsidRPr="002A4F6E">
        <w:rPr>
          <w:rStyle w:val="Hyperlink"/>
          <w:rFonts w:asciiTheme="minorHAnsi" w:hAnsiTheme="minorHAnsi" w:cstheme="minorHAnsi"/>
          <w:color w:val="auto"/>
          <w:u w:val="none"/>
          <w:bdr w:val="none" w:sz="0" w:space="0" w:color="auto" w:frame="1"/>
        </w:rPr>
        <w:t xml:space="preserve">hooping </w:t>
      </w:r>
      <w:r w:rsidR="007457A0">
        <w:rPr>
          <w:rStyle w:val="Hyperlink"/>
          <w:rFonts w:asciiTheme="minorHAnsi" w:hAnsiTheme="minorHAnsi" w:cstheme="minorHAnsi"/>
          <w:color w:val="auto"/>
          <w:u w:val="none"/>
          <w:bdr w:val="none" w:sz="0" w:space="0" w:color="auto" w:frame="1"/>
        </w:rPr>
        <w:t>C</w:t>
      </w:r>
      <w:r w:rsidRPr="002A4F6E">
        <w:rPr>
          <w:rStyle w:val="Hyperlink"/>
          <w:rFonts w:asciiTheme="minorHAnsi" w:hAnsiTheme="minorHAnsi" w:cstheme="minorHAnsi"/>
          <w:color w:val="auto"/>
          <w:u w:val="none"/>
          <w:bdr w:val="none" w:sz="0" w:space="0" w:color="auto" w:frame="1"/>
        </w:rPr>
        <w:t>ranes</w:t>
      </w:r>
      <w:r w:rsidR="00625B05">
        <w:rPr>
          <w:rStyle w:val="Hyperlink"/>
          <w:rFonts w:asciiTheme="minorHAnsi" w:hAnsiTheme="minorHAnsi" w:cstheme="minorHAnsi"/>
          <w:color w:val="auto"/>
          <w:u w:val="none"/>
          <w:bdr w:val="none" w:sz="0" w:space="0" w:color="auto" w:frame="1"/>
        </w:rPr>
        <w:t xml:space="preserve"> (</w:t>
      </w:r>
      <w:r w:rsidR="00625B05" w:rsidRPr="00625B05">
        <w:rPr>
          <w:rStyle w:val="Hyperlink"/>
          <w:rFonts w:asciiTheme="minorHAnsi" w:hAnsiTheme="minorHAnsi" w:cstheme="minorHAnsi"/>
          <w:i/>
          <w:iCs/>
          <w:color w:val="auto"/>
          <w:u w:val="none"/>
          <w:bdr w:val="none" w:sz="0" w:space="0" w:color="auto" w:frame="1"/>
        </w:rPr>
        <w:t>Grus americana</w:t>
      </w:r>
      <w:r w:rsidR="00625B05">
        <w:rPr>
          <w:rStyle w:val="Hyperlink"/>
          <w:rFonts w:asciiTheme="minorHAnsi" w:hAnsiTheme="minorHAnsi" w:cstheme="minorHAnsi"/>
          <w:color w:val="auto"/>
          <w:u w:val="none"/>
          <w:bdr w:val="none" w:sz="0" w:space="0" w:color="auto" w:frame="1"/>
        </w:rPr>
        <w:t>) observed staging in the central Platte River valley during autumn 2021. Waterbirds 45(4): 484-491.</w:t>
      </w:r>
      <w:r w:rsidR="00625B05" w:rsidRPr="00625B05">
        <w:rPr>
          <w:rStyle w:val="Hyperlink"/>
          <w:rFonts w:asciiTheme="minorHAnsi" w:hAnsiTheme="minorHAnsi" w:cstheme="minorHAnsi"/>
          <w:color w:val="auto"/>
          <w:u w:val="none"/>
          <w:bdr w:val="none" w:sz="0" w:space="0" w:color="auto" w:frame="1"/>
        </w:rPr>
        <w:t xml:space="preserve"> </w:t>
      </w:r>
      <w:hyperlink r:id="rId49" w:history="1">
        <w:r w:rsidR="00625B05" w:rsidRPr="00625B05">
          <w:rPr>
            <w:rStyle w:val="Hyperlink"/>
            <w:rFonts w:asciiTheme="minorHAnsi" w:hAnsiTheme="minorHAnsi" w:cstheme="minorHAnsi"/>
            <w:shd w:val="clear" w:color="auto" w:fill="C9C9C9"/>
          </w:rPr>
          <w:t>https://doi.org/10.1675/063.045.0413</w:t>
        </w:r>
      </w:hyperlink>
    </w:p>
    <w:p w14:paraId="282E3CD9" w14:textId="77777777" w:rsidR="007457A0" w:rsidRDefault="007457A0" w:rsidP="007457A0">
      <w:pPr>
        <w:pStyle w:val="NoSpacing"/>
        <w:rPr>
          <w:rFonts w:asciiTheme="minorHAnsi" w:hAnsiTheme="minorHAnsi" w:cstheme="minorHAnsi"/>
        </w:rPr>
      </w:pPr>
    </w:p>
    <w:p w14:paraId="38311957" w14:textId="7ECD193E" w:rsidR="00806829" w:rsidRPr="00806829" w:rsidRDefault="007457A0" w:rsidP="00806829">
      <w:pPr>
        <w:rPr>
          <w:rFonts w:asciiTheme="minorHAnsi" w:hAnsiTheme="minorHAnsi" w:cstheme="minorHAnsi"/>
        </w:rPr>
      </w:pPr>
      <w:r w:rsidRPr="00806829">
        <w:rPr>
          <w:rFonts w:asciiTheme="minorHAnsi" w:hAnsiTheme="minorHAnsi" w:cstheme="minorHAnsi"/>
        </w:rPr>
        <w:t>Brinley Buckley</w:t>
      </w:r>
      <w:r w:rsidR="00806829">
        <w:rPr>
          <w:rFonts w:asciiTheme="minorHAnsi" w:hAnsiTheme="minorHAnsi" w:cstheme="minorHAnsi"/>
        </w:rPr>
        <w:t xml:space="preserve"> EM, Caven AJ, Wiese JD, Harner MJ.</w:t>
      </w:r>
      <w:r w:rsidRPr="00806829">
        <w:rPr>
          <w:rFonts w:asciiTheme="minorHAnsi" w:hAnsiTheme="minorHAnsi" w:cstheme="minorHAnsi"/>
        </w:rPr>
        <w:t xml:space="preserve"> 2021 </w:t>
      </w:r>
      <w:r w:rsidR="00806829">
        <w:rPr>
          <w:rFonts w:asciiTheme="minorHAnsi" w:hAnsiTheme="minorHAnsi" w:cstheme="minorHAnsi"/>
        </w:rPr>
        <w:t xml:space="preserve">Assessing the </w:t>
      </w:r>
      <w:proofErr w:type="spellStart"/>
      <w:r w:rsidR="00806829">
        <w:rPr>
          <w:rFonts w:asciiTheme="minorHAnsi" w:hAnsiTheme="minorHAnsi" w:cstheme="minorHAnsi"/>
        </w:rPr>
        <w:t>hydroregime</w:t>
      </w:r>
      <w:proofErr w:type="spellEnd"/>
      <w:r w:rsidR="00806829">
        <w:rPr>
          <w:rFonts w:asciiTheme="minorHAnsi" w:hAnsiTheme="minorHAnsi" w:cstheme="minorHAnsi"/>
        </w:rPr>
        <w:t xml:space="preserve"> of an archetypical riverine wet meadow in the central Great Plains using time-lapse imagery.</w:t>
      </w:r>
      <w:r w:rsidR="00806829" w:rsidRPr="00806829">
        <w:rPr>
          <w:rFonts w:asciiTheme="minorHAnsi" w:hAnsiTheme="minorHAnsi" w:cstheme="minorHAnsi"/>
          <w:shd w:val="clear" w:color="auto" w:fill="FFFFFF"/>
        </w:rPr>
        <w:t xml:space="preserve"> Ecosphere 12(11):e03829</w:t>
      </w:r>
      <w:r w:rsidR="00806829">
        <w:rPr>
          <w:rFonts w:asciiTheme="minorHAnsi" w:hAnsiTheme="minorHAnsi" w:cstheme="minorHAnsi"/>
          <w:shd w:val="clear" w:color="auto" w:fill="FFFFFF"/>
        </w:rPr>
        <w:t>.</w:t>
      </w:r>
    </w:p>
    <w:p w14:paraId="1B65E802" w14:textId="60CCEE47" w:rsidR="007457A0" w:rsidRPr="00EF123B" w:rsidRDefault="00441ABB" w:rsidP="00EF123B">
      <w:pPr>
        <w:shd w:val="clear" w:color="auto" w:fill="FFFFFF"/>
        <w:rPr>
          <w:rFonts w:asciiTheme="minorHAnsi" w:hAnsiTheme="minorHAnsi" w:cstheme="minorHAnsi"/>
          <w:color w:val="767676"/>
        </w:rPr>
      </w:pPr>
      <w:hyperlink r:id="rId50" w:history="1">
        <w:r w:rsidR="00806829" w:rsidRPr="00806829">
          <w:rPr>
            <w:rStyle w:val="Hyperlink"/>
            <w:rFonts w:asciiTheme="minorHAnsi" w:hAnsiTheme="minorHAnsi" w:cstheme="minorHAnsi"/>
          </w:rPr>
          <w:t>https://doi.org/10.1002/ecs2.3829</w:t>
        </w:r>
      </w:hyperlink>
    </w:p>
    <w:p w14:paraId="0A0DC8F1" w14:textId="77777777" w:rsidR="00625B05" w:rsidRDefault="00625B05" w:rsidP="009B5BA4">
      <w:pPr>
        <w:pStyle w:val="NoSpacing"/>
        <w:rPr>
          <w:rFonts w:asciiTheme="minorHAnsi" w:hAnsiTheme="minorHAnsi" w:cstheme="minorHAnsi"/>
        </w:rPr>
      </w:pPr>
    </w:p>
    <w:p w14:paraId="5B1A2C14" w14:textId="77777777" w:rsidR="00551372" w:rsidRDefault="00551372" w:rsidP="00551372">
      <w:pPr>
        <w:pStyle w:val="NoSpacing"/>
        <w:rPr>
          <w:rStyle w:val="Hyperlink"/>
          <w:rFonts w:asciiTheme="minorHAnsi" w:hAnsiTheme="minorHAnsi" w:cstheme="minorHAnsi"/>
          <w:color w:val="auto"/>
          <w:u w:val="none"/>
          <w:bdr w:val="none" w:sz="0" w:space="0" w:color="auto" w:frame="1"/>
        </w:rPr>
      </w:pPr>
      <w:r w:rsidRPr="009B5BA4">
        <w:rPr>
          <w:rStyle w:val="Hyperlink"/>
          <w:rFonts w:asciiTheme="minorHAnsi" w:hAnsiTheme="minorHAnsi" w:cstheme="minorHAnsi"/>
          <w:color w:val="auto"/>
          <w:u w:val="none"/>
          <w:bdr w:val="none" w:sz="0" w:space="0" w:color="auto" w:frame="1"/>
        </w:rPr>
        <w:t>Caven</w:t>
      </w:r>
      <w:r>
        <w:rPr>
          <w:rStyle w:val="Hyperlink"/>
          <w:rFonts w:asciiTheme="minorHAnsi" w:hAnsiTheme="minorHAnsi" w:cstheme="minorHAnsi"/>
          <w:color w:val="auto"/>
          <w:u w:val="none"/>
          <w:bdr w:val="none" w:sz="0" w:space="0" w:color="auto" w:frame="1"/>
        </w:rPr>
        <w:t xml:space="preserve"> AJ</w:t>
      </w:r>
      <w:r w:rsidRPr="009B5BA4">
        <w:rPr>
          <w:rStyle w:val="Hyperlink"/>
          <w:rFonts w:asciiTheme="minorHAnsi" w:hAnsiTheme="minorHAnsi" w:cstheme="minorHAnsi"/>
          <w:color w:val="auto"/>
          <w:u w:val="none"/>
          <w:bdr w:val="none" w:sz="0" w:space="0" w:color="auto" w:frame="1"/>
        </w:rPr>
        <w:t>, Mosier</w:t>
      </w:r>
      <w:r>
        <w:rPr>
          <w:rStyle w:val="Hyperlink"/>
          <w:rFonts w:asciiTheme="minorHAnsi" w:hAnsiTheme="minorHAnsi" w:cstheme="minorHAnsi"/>
          <w:color w:val="auto"/>
          <w:u w:val="none"/>
          <w:bdr w:val="none" w:sz="0" w:space="0" w:color="auto" w:frame="1"/>
        </w:rPr>
        <w:t xml:space="preserve"> MM,</w:t>
      </w:r>
      <w:r w:rsidRPr="009B5BA4">
        <w:rPr>
          <w:rStyle w:val="Hyperlink"/>
          <w:rFonts w:asciiTheme="minorHAnsi" w:hAnsiTheme="minorHAnsi" w:cstheme="minorHAnsi"/>
          <w:color w:val="auto"/>
          <w:u w:val="none"/>
          <w:bdr w:val="none" w:sz="0" w:space="0" w:color="auto" w:frame="1"/>
        </w:rPr>
        <w:t xml:space="preserve"> Stoner</w:t>
      </w:r>
      <w:r>
        <w:rPr>
          <w:rStyle w:val="Hyperlink"/>
          <w:rFonts w:asciiTheme="minorHAnsi" w:hAnsiTheme="minorHAnsi" w:cstheme="minorHAnsi"/>
          <w:color w:val="auto"/>
          <w:u w:val="none"/>
          <w:bdr w:val="none" w:sz="0" w:space="0" w:color="auto" w:frame="1"/>
        </w:rPr>
        <w:t xml:space="preserve"> KJ</w:t>
      </w:r>
      <w:r w:rsidRPr="009B5BA4">
        <w:rPr>
          <w:rStyle w:val="Hyperlink"/>
          <w:rFonts w:asciiTheme="minorHAnsi" w:hAnsiTheme="minorHAnsi" w:cstheme="minorHAnsi"/>
          <w:color w:val="auto"/>
          <w:u w:val="none"/>
          <w:bdr w:val="none" w:sz="0" w:space="0" w:color="auto" w:frame="1"/>
        </w:rPr>
        <w:t>, Taddicken</w:t>
      </w:r>
      <w:r>
        <w:rPr>
          <w:rStyle w:val="Hyperlink"/>
          <w:rFonts w:asciiTheme="minorHAnsi" w:hAnsiTheme="minorHAnsi" w:cstheme="minorHAnsi"/>
          <w:color w:val="auto"/>
          <w:u w:val="none"/>
          <w:bdr w:val="none" w:sz="0" w:space="0" w:color="auto" w:frame="1"/>
        </w:rPr>
        <w:t xml:space="preserve"> B</w:t>
      </w:r>
      <w:r w:rsidRPr="009B5BA4">
        <w:rPr>
          <w:rStyle w:val="Hyperlink"/>
          <w:rFonts w:asciiTheme="minorHAnsi" w:hAnsiTheme="minorHAnsi" w:cstheme="minorHAnsi"/>
          <w:color w:val="auto"/>
          <w:u w:val="none"/>
          <w:bdr w:val="none" w:sz="0" w:space="0" w:color="auto" w:frame="1"/>
        </w:rPr>
        <w:t>, Krohn</w:t>
      </w:r>
      <w:r>
        <w:rPr>
          <w:rStyle w:val="Hyperlink"/>
          <w:rFonts w:asciiTheme="minorHAnsi" w:hAnsiTheme="minorHAnsi" w:cstheme="minorHAnsi"/>
          <w:color w:val="auto"/>
          <w:u w:val="none"/>
          <w:bdr w:val="none" w:sz="0" w:space="0" w:color="auto" w:frame="1"/>
        </w:rPr>
        <w:t xml:space="preserve"> B</w:t>
      </w:r>
      <w:r w:rsidRPr="009B5BA4">
        <w:rPr>
          <w:rStyle w:val="Hyperlink"/>
          <w:rFonts w:asciiTheme="minorHAnsi" w:hAnsiTheme="minorHAnsi" w:cstheme="minorHAnsi"/>
          <w:color w:val="auto"/>
          <w:u w:val="none"/>
          <w:bdr w:val="none" w:sz="0" w:space="0" w:color="auto" w:frame="1"/>
        </w:rPr>
        <w:t>, Gramza</w:t>
      </w:r>
      <w:r>
        <w:rPr>
          <w:rStyle w:val="Hyperlink"/>
          <w:rFonts w:asciiTheme="minorHAnsi" w:hAnsiTheme="minorHAnsi" w:cstheme="minorHAnsi"/>
          <w:color w:val="auto"/>
          <w:u w:val="none"/>
          <w:bdr w:val="none" w:sz="0" w:space="0" w:color="auto" w:frame="1"/>
        </w:rPr>
        <w:t xml:space="preserve"> A</w:t>
      </w:r>
      <w:r w:rsidRPr="009B5BA4">
        <w:rPr>
          <w:rStyle w:val="Hyperlink"/>
          <w:rFonts w:asciiTheme="minorHAnsi" w:hAnsiTheme="minorHAnsi" w:cstheme="minorHAnsi"/>
          <w:color w:val="auto"/>
          <w:u w:val="none"/>
          <w:bdr w:val="none" w:sz="0" w:space="0" w:color="auto" w:frame="1"/>
        </w:rPr>
        <w:t>, Allen</w:t>
      </w:r>
      <w:r>
        <w:rPr>
          <w:rStyle w:val="Hyperlink"/>
          <w:rFonts w:asciiTheme="minorHAnsi" w:hAnsiTheme="minorHAnsi" w:cstheme="minorHAnsi"/>
          <w:color w:val="auto"/>
          <w:u w:val="none"/>
          <w:bdr w:val="none" w:sz="0" w:space="0" w:color="auto" w:frame="1"/>
        </w:rPr>
        <w:t xml:space="preserve"> CR</w:t>
      </w:r>
      <w:r w:rsidRPr="009B5BA4">
        <w:rPr>
          <w:rStyle w:val="Hyperlink"/>
          <w:rFonts w:asciiTheme="minorHAnsi" w:hAnsiTheme="minorHAnsi" w:cstheme="minorHAnsi"/>
          <w:color w:val="auto"/>
          <w:u w:val="none"/>
          <w:bdr w:val="none" w:sz="0" w:space="0" w:color="auto" w:frame="1"/>
        </w:rPr>
        <w:t>, Carter</w:t>
      </w:r>
      <w:r>
        <w:rPr>
          <w:rStyle w:val="Hyperlink"/>
          <w:rFonts w:asciiTheme="minorHAnsi" w:hAnsiTheme="minorHAnsi" w:cstheme="minorHAnsi"/>
          <w:color w:val="auto"/>
          <w:u w:val="none"/>
          <w:bdr w:val="none" w:sz="0" w:space="0" w:color="auto" w:frame="1"/>
        </w:rPr>
        <w:t xml:space="preserve"> M</w:t>
      </w:r>
      <w:r w:rsidRPr="009B5BA4">
        <w:rPr>
          <w:rStyle w:val="Hyperlink"/>
          <w:rFonts w:asciiTheme="minorHAnsi" w:hAnsiTheme="minorHAnsi" w:cstheme="minorHAnsi"/>
          <w:color w:val="auto"/>
          <w:u w:val="none"/>
          <w:bdr w:val="none" w:sz="0" w:space="0" w:color="auto" w:frame="1"/>
        </w:rPr>
        <w:t>, Koch</w:t>
      </w:r>
      <w:r>
        <w:rPr>
          <w:rStyle w:val="Hyperlink"/>
          <w:rFonts w:asciiTheme="minorHAnsi" w:hAnsiTheme="minorHAnsi" w:cstheme="minorHAnsi"/>
          <w:color w:val="auto"/>
          <w:u w:val="none"/>
          <w:bdr w:val="none" w:sz="0" w:space="0" w:color="auto" w:frame="1"/>
        </w:rPr>
        <w:t xml:space="preserve"> M</w:t>
      </w:r>
      <w:r w:rsidRPr="009B5BA4">
        <w:rPr>
          <w:rStyle w:val="Hyperlink"/>
          <w:rFonts w:asciiTheme="minorHAnsi" w:hAnsiTheme="minorHAnsi" w:cstheme="minorHAnsi"/>
          <w:color w:val="auto"/>
          <w:u w:val="none"/>
          <w:bdr w:val="none" w:sz="0" w:space="0" w:color="auto" w:frame="1"/>
        </w:rPr>
        <w:t>, Schroeder</w:t>
      </w:r>
      <w:r>
        <w:rPr>
          <w:rStyle w:val="Hyperlink"/>
          <w:rFonts w:asciiTheme="minorHAnsi" w:hAnsiTheme="minorHAnsi" w:cstheme="minorHAnsi"/>
          <w:color w:val="auto"/>
          <w:u w:val="none"/>
          <w:bdr w:val="none" w:sz="0" w:space="0" w:color="auto" w:frame="1"/>
        </w:rPr>
        <w:t xml:space="preserve"> KD</w:t>
      </w:r>
      <w:r w:rsidRPr="009B5BA4">
        <w:rPr>
          <w:rStyle w:val="Hyperlink"/>
          <w:rFonts w:asciiTheme="minorHAnsi" w:hAnsiTheme="minorHAnsi" w:cstheme="minorHAnsi"/>
          <w:color w:val="auto"/>
          <w:u w:val="none"/>
          <w:bdr w:val="none" w:sz="0" w:space="0" w:color="auto" w:frame="1"/>
        </w:rPr>
        <w:t>, Bailey</w:t>
      </w:r>
      <w:r>
        <w:rPr>
          <w:rStyle w:val="Hyperlink"/>
          <w:rFonts w:asciiTheme="minorHAnsi" w:hAnsiTheme="minorHAnsi" w:cstheme="minorHAnsi"/>
          <w:color w:val="auto"/>
          <w:u w:val="none"/>
          <w:bdr w:val="none" w:sz="0" w:space="0" w:color="auto" w:frame="1"/>
        </w:rPr>
        <w:t xml:space="preserve"> S</w:t>
      </w:r>
      <w:r w:rsidRPr="009B5BA4">
        <w:rPr>
          <w:rStyle w:val="Hyperlink"/>
          <w:rFonts w:asciiTheme="minorHAnsi" w:hAnsiTheme="minorHAnsi" w:cstheme="minorHAnsi"/>
          <w:color w:val="auto"/>
          <w:u w:val="none"/>
          <w:bdr w:val="none" w:sz="0" w:space="0" w:color="auto" w:frame="1"/>
        </w:rPr>
        <w:t>, Walters</w:t>
      </w:r>
      <w:r>
        <w:rPr>
          <w:rStyle w:val="Hyperlink"/>
          <w:rFonts w:asciiTheme="minorHAnsi" w:hAnsiTheme="minorHAnsi" w:cstheme="minorHAnsi"/>
          <w:color w:val="auto"/>
          <w:u w:val="none"/>
          <w:bdr w:val="none" w:sz="0" w:space="0" w:color="auto" w:frame="1"/>
        </w:rPr>
        <w:t xml:space="preserve"> R</w:t>
      </w:r>
      <w:r w:rsidRPr="009B5BA4">
        <w:rPr>
          <w:rStyle w:val="Hyperlink"/>
          <w:rFonts w:asciiTheme="minorHAnsi" w:hAnsiTheme="minorHAnsi" w:cstheme="minorHAnsi"/>
          <w:color w:val="auto"/>
          <w:u w:val="none"/>
          <w:bdr w:val="none" w:sz="0" w:space="0" w:color="auto" w:frame="1"/>
        </w:rPr>
        <w:t>, Chaffin</w:t>
      </w:r>
      <w:r>
        <w:rPr>
          <w:rStyle w:val="Hyperlink"/>
          <w:rFonts w:asciiTheme="minorHAnsi" w:hAnsiTheme="minorHAnsi" w:cstheme="minorHAnsi"/>
          <w:color w:val="auto"/>
          <w:u w:val="none"/>
          <w:bdr w:val="none" w:sz="0" w:space="0" w:color="auto" w:frame="1"/>
        </w:rPr>
        <w:t xml:space="preserve"> BC</w:t>
      </w:r>
      <w:r w:rsidRPr="009B5BA4">
        <w:rPr>
          <w:rStyle w:val="Hyperlink"/>
          <w:rFonts w:asciiTheme="minorHAnsi" w:hAnsiTheme="minorHAnsi" w:cstheme="minorHAnsi"/>
          <w:color w:val="auto"/>
          <w:u w:val="none"/>
          <w:bdr w:val="none" w:sz="0" w:space="0" w:color="auto" w:frame="1"/>
        </w:rPr>
        <w:t>, Gnuse</w:t>
      </w:r>
      <w:r>
        <w:rPr>
          <w:rStyle w:val="Hyperlink"/>
          <w:rFonts w:asciiTheme="minorHAnsi" w:hAnsiTheme="minorHAnsi" w:cstheme="minorHAnsi"/>
          <w:color w:val="auto"/>
          <w:u w:val="none"/>
          <w:bdr w:val="none" w:sz="0" w:space="0" w:color="auto" w:frame="1"/>
        </w:rPr>
        <w:t xml:space="preserve"> E</w:t>
      </w:r>
      <w:r w:rsidRPr="009B5BA4">
        <w:rPr>
          <w:rStyle w:val="Hyperlink"/>
          <w:rFonts w:asciiTheme="minorHAnsi" w:hAnsiTheme="minorHAnsi" w:cstheme="minorHAnsi"/>
          <w:color w:val="auto"/>
          <w:u w:val="none"/>
          <w:bdr w:val="none" w:sz="0" w:space="0" w:color="auto" w:frame="1"/>
        </w:rPr>
        <w:t>, Jones</w:t>
      </w:r>
      <w:r>
        <w:rPr>
          <w:rStyle w:val="Hyperlink"/>
          <w:rFonts w:asciiTheme="minorHAnsi" w:hAnsiTheme="minorHAnsi" w:cstheme="minorHAnsi"/>
          <w:color w:val="auto"/>
          <w:u w:val="none"/>
          <w:bdr w:val="none" w:sz="0" w:space="0" w:color="auto" w:frame="1"/>
        </w:rPr>
        <w:t xml:space="preserve"> A</w:t>
      </w:r>
      <w:r w:rsidRPr="009B5BA4">
        <w:rPr>
          <w:rStyle w:val="Hyperlink"/>
          <w:rFonts w:asciiTheme="minorHAnsi" w:hAnsiTheme="minorHAnsi" w:cstheme="minorHAnsi"/>
          <w:color w:val="auto"/>
          <w:u w:val="none"/>
          <w:bdr w:val="none" w:sz="0" w:space="0" w:color="auto" w:frame="1"/>
        </w:rPr>
        <w:t xml:space="preserve"> and Bird</w:t>
      </w:r>
      <w:r>
        <w:rPr>
          <w:rStyle w:val="Hyperlink"/>
          <w:rFonts w:asciiTheme="minorHAnsi" w:hAnsiTheme="minorHAnsi" w:cstheme="minorHAnsi"/>
          <w:color w:val="auto"/>
          <w:u w:val="none"/>
          <w:bdr w:val="none" w:sz="0" w:space="0" w:color="auto" w:frame="1"/>
        </w:rPr>
        <w:t xml:space="preserve"> K. </w:t>
      </w:r>
      <w:r w:rsidRPr="009B5BA4">
        <w:rPr>
          <w:rStyle w:val="Hyperlink"/>
          <w:rFonts w:asciiTheme="minorHAnsi" w:hAnsiTheme="minorHAnsi" w:cstheme="minorHAnsi"/>
          <w:color w:val="auto"/>
          <w:u w:val="none"/>
          <w:bdr w:val="none" w:sz="0" w:space="0" w:color="auto" w:frame="1"/>
        </w:rPr>
        <w:t xml:space="preserve">2022. A </w:t>
      </w:r>
      <w:r>
        <w:rPr>
          <w:rStyle w:val="Hyperlink"/>
          <w:rFonts w:asciiTheme="minorHAnsi" w:hAnsiTheme="minorHAnsi" w:cstheme="minorHAnsi"/>
          <w:color w:val="auto"/>
          <w:u w:val="none"/>
          <w:bdr w:val="none" w:sz="0" w:space="0" w:color="auto" w:frame="1"/>
        </w:rPr>
        <w:t>l</w:t>
      </w:r>
      <w:r w:rsidRPr="009B5BA4">
        <w:rPr>
          <w:rStyle w:val="Hyperlink"/>
          <w:rFonts w:asciiTheme="minorHAnsi" w:hAnsiTheme="minorHAnsi" w:cstheme="minorHAnsi"/>
          <w:color w:val="auto"/>
          <w:u w:val="none"/>
          <w:bdr w:val="none" w:sz="0" w:space="0" w:color="auto" w:frame="1"/>
        </w:rPr>
        <w:t>ong-</w:t>
      </w:r>
      <w:r>
        <w:rPr>
          <w:rStyle w:val="Hyperlink"/>
          <w:rFonts w:asciiTheme="minorHAnsi" w:hAnsiTheme="minorHAnsi" w:cstheme="minorHAnsi"/>
          <w:color w:val="auto"/>
          <w:u w:val="none"/>
          <w:bdr w:val="none" w:sz="0" w:space="0" w:color="auto" w:frame="1"/>
        </w:rPr>
        <w:t>t</w:t>
      </w:r>
      <w:r w:rsidRPr="009B5BA4">
        <w:rPr>
          <w:rStyle w:val="Hyperlink"/>
          <w:rFonts w:asciiTheme="minorHAnsi" w:hAnsiTheme="minorHAnsi" w:cstheme="minorHAnsi"/>
          <w:color w:val="auto"/>
          <w:u w:val="none"/>
          <w:bdr w:val="none" w:sz="0" w:space="0" w:color="auto" w:frame="1"/>
        </w:rPr>
        <w:t xml:space="preserve">erm </w:t>
      </w:r>
      <w:r>
        <w:rPr>
          <w:rStyle w:val="Hyperlink"/>
          <w:rFonts w:asciiTheme="minorHAnsi" w:hAnsiTheme="minorHAnsi" w:cstheme="minorHAnsi"/>
          <w:color w:val="auto"/>
          <w:u w:val="none"/>
          <w:bdr w:val="none" w:sz="0" w:space="0" w:color="auto" w:frame="1"/>
        </w:rPr>
        <w:t>v</w:t>
      </w:r>
      <w:r w:rsidRPr="009B5BA4">
        <w:rPr>
          <w:rStyle w:val="Hyperlink"/>
          <w:rFonts w:asciiTheme="minorHAnsi" w:hAnsiTheme="minorHAnsi" w:cstheme="minorHAnsi"/>
          <w:color w:val="auto"/>
          <w:u w:val="none"/>
          <w:bdr w:val="none" w:sz="0" w:space="0" w:color="auto" w:frame="1"/>
        </w:rPr>
        <w:t xml:space="preserve">ision for an </w:t>
      </w:r>
      <w:r>
        <w:rPr>
          <w:rStyle w:val="Hyperlink"/>
          <w:rFonts w:asciiTheme="minorHAnsi" w:hAnsiTheme="minorHAnsi" w:cstheme="minorHAnsi"/>
          <w:color w:val="auto"/>
          <w:u w:val="none"/>
          <w:bdr w:val="none" w:sz="0" w:space="0" w:color="auto" w:frame="1"/>
        </w:rPr>
        <w:t>e</w:t>
      </w:r>
      <w:r w:rsidRPr="009B5BA4">
        <w:rPr>
          <w:rStyle w:val="Hyperlink"/>
          <w:rFonts w:asciiTheme="minorHAnsi" w:hAnsiTheme="minorHAnsi" w:cstheme="minorHAnsi"/>
          <w:color w:val="auto"/>
          <w:u w:val="none"/>
          <w:bdr w:val="none" w:sz="0" w:space="0" w:color="auto" w:frame="1"/>
        </w:rPr>
        <w:t xml:space="preserve">cologically </w:t>
      </w:r>
      <w:r>
        <w:rPr>
          <w:rStyle w:val="Hyperlink"/>
          <w:rFonts w:asciiTheme="minorHAnsi" w:hAnsiTheme="minorHAnsi" w:cstheme="minorHAnsi"/>
          <w:color w:val="auto"/>
          <w:u w:val="none"/>
          <w:bdr w:val="none" w:sz="0" w:space="0" w:color="auto" w:frame="1"/>
        </w:rPr>
        <w:t>s</w:t>
      </w:r>
      <w:r w:rsidRPr="009B5BA4">
        <w:rPr>
          <w:rStyle w:val="Hyperlink"/>
          <w:rFonts w:asciiTheme="minorHAnsi" w:hAnsiTheme="minorHAnsi" w:cstheme="minorHAnsi"/>
          <w:color w:val="auto"/>
          <w:u w:val="none"/>
          <w:bdr w:val="none" w:sz="0" w:space="0" w:color="auto" w:frame="1"/>
        </w:rPr>
        <w:t xml:space="preserve">ound </w:t>
      </w:r>
      <w:r>
        <w:rPr>
          <w:rStyle w:val="Hyperlink"/>
          <w:rFonts w:asciiTheme="minorHAnsi" w:hAnsiTheme="minorHAnsi" w:cstheme="minorHAnsi"/>
          <w:color w:val="auto"/>
          <w:u w:val="none"/>
          <w:bdr w:val="none" w:sz="0" w:space="0" w:color="auto" w:frame="1"/>
        </w:rPr>
        <w:t>P</w:t>
      </w:r>
      <w:r w:rsidRPr="009B5BA4">
        <w:rPr>
          <w:rStyle w:val="Hyperlink"/>
          <w:rFonts w:asciiTheme="minorHAnsi" w:hAnsiTheme="minorHAnsi" w:cstheme="minorHAnsi"/>
          <w:color w:val="auto"/>
          <w:u w:val="none"/>
          <w:bdr w:val="none" w:sz="0" w:space="0" w:color="auto" w:frame="1"/>
        </w:rPr>
        <w:t xml:space="preserve">latte River. Lincoln, Nebraska: </w:t>
      </w:r>
      <w:proofErr w:type="spellStart"/>
      <w:r w:rsidRPr="009B5BA4">
        <w:rPr>
          <w:rStyle w:val="Hyperlink"/>
          <w:rFonts w:asciiTheme="minorHAnsi" w:hAnsiTheme="minorHAnsi" w:cstheme="minorHAnsi"/>
          <w:color w:val="auto"/>
          <w:u w:val="none"/>
          <w:bdr w:val="none" w:sz="0" w:space="0" w:color="auto" w:frame="1"/>
        </w:rPr>
        <w:t>Zea</w:t>
      </w:r>
      <w:proofErr w:type="spellEnd"/>
      <w:r w:rsidRPr="009B5BA4">
        <w:rPr>
          <w:rStyle w:val="Hyperlink"/>
          <w:rFonts w:asciiTheme="minorHAnsi" w:hAnsiTheme="minorHAnsi" w:cstheme="minorHAnsi"/>
          <w:color w:val="auto"/>
          <w:u w:val="none"/>
          <w:bdr w:val="none" w:sz="0" w:space="0" w:color="auto" w:frame="1"/>
        </w:rPr>
        <w:t xml:space="preserve"> Books.</w:t>
      </w:r>
      <w:r>
        <w:rPr>
          <w:rStyle w:val="Hyperlink"/>
          <w:rFonts w:asciiTheme="minorHAnsi" w:hAnsiTheme="minorHAnsi" w:cstheme="minorHAnsi"/>
          <w:color w:val="auto"/>
          <w:u w:val="none"/>
          <w:bdr w:val="none" w:sz="0" w:space="0" w:color="auto" w:frame="1"/>
        </w:rPr>
        <w:t xml:space="preserve"> </w:t>
      </w:r>
      <w:hyperlink r:id="rId51" w:history="1">
        <w:r w:rsidRPr="009B5BA4">
          <w:rPr>
            <w:rStyle w:val="Hyperlink"/>
            <w:rFonts w:asciiTheme="minorHAnsi" w:hAnsiTheme="minorHAnsi" w:cstheme="minorHAnsi"/>
            <w:bdr w:val="none" w:sz="0" w:space="0" w:color="auto" w:frame="1"/>
          </w:rPr>
          <w:t>https://digitalcommons.unl.edu/zeabook/128/</w:t>
        </w:r>
      </w:hyperlink>
    </w:p>
    <w:p w14:paraId="71F36EDC" w14:textId="77777777" w:rsidR="00551372" w:rsidRDefault="00551372" w:rsidP="009B5BA4">
      <w:pPr>
        <w:pStyle w:val="NoSpacing"/>
        <w:rPr>
          <w:rFonts w:asciiTheme="minorHAnsi" w:hAnsiTheme="minorHAnsi" w:cstheme="minorHAnsi"/>
        </w:rPr>
      </w:pPr>
    </w:p>
    <w:p w14:paraId="05156693" w14:textId="283770E9" w:rsidR="00625B05" w:rsidRPr="00625B05" w:rsidRDefault="009B5BA4" w:rsidP="009B5BA4">
      <w:pPr>
        <w:pStyle w:val="NoSpacing"/>
        <w:rPr>
          <w:rFonts w:asciiTheme="minorHAnsi" w:hAnsiTheme="minorHAnsi" w:cstheme="minorHAnsi"/>
        </w:rPr>
      </w:pPr>
      <w:r w:rsidRPr="002A4F6E">
        <w:rPr>
          <w:rFonts w:asciiTheme="minorHAnsi" w:hAnsiTheme="minorHAnsi" w:cstheme="minorHAnsi"/>
        </w:rPr>
        <w:t xml:space="preserve">Caven </w:t>
      </w:r>
      <w:r w:rsidR="00625B05">
        <w:rPr>
          <w:rFonts w:asciiTheme="minorHAnsi" w:hAnsiTheme="minorHAnsi" w:cstheme="minorHAnsi"/>
        </w:rPr>
        <w:t xml:space="preserve">AJ, Pearse AT, Brandt DA, Harner MJ, Wright GD, Baasch DM, Brinley Buckley EM, Metzger KL, Rabbe M R, Lacy AE. </w:t>
      </w:r>
      <w:r w:rsidR="007457A0">
        <w:rPr>
          <w:rFonts w:asciiTheme="minorHAnsi" w:hAnsiTheme="minorHAnsi" w:cstheme="minorHAnsi"/>
        </w:rPr>
        <w:t xml:space="preserve">Whooping Crane stay length in relation to stopover site characteristics. </w:t>
      </w:r>
      <w:r w:rsidR="00625B05">
        <w:rPr>
          <w:rFonts w:asciiTheme="minorHAnsi" w:hAnsiTheme="minorHAnsi" w:cstheme="minorHAnsi"/>
        </w:rPr>
        <w:t>Proceedings of the North American Crane Workshop 15:6-33</w:t>
      </w:r>
      <w:r w:rsidR="007457A0">
        <w:rPr>
          <w:rFonts w:asciiTheme="minorHAnsi" w:hAnsiTheme="minorHAnsi" w:cstheme="minorHAnsi"/>
        </w:rPr>
        <w:t xml:space="preserve">. </w:t>
      </w:r>
      <w:hyperlink r:id="rId52" w:history="1">
        <w:r w:rsidR="007457A0" w:rsidRPr="007457A0">
          <w:rPr>
            <w:rStyle w:val="Hyperlink"/>
            <w:rFonts w:asciiTheme="minorHAnsi" w:hAnsiTheme="minorHAnsi" w:cstheme="minorHAnsi"/>
          </w:rPr>
          <w:t>https://digitalcommons.unl.edu/nacwgproc/397/</w:t>
        </w:r>
      </w:hyperlink>
    </w:p>
    <w:p w14:paraId="2952AF57" w14:textId="77777777" w:rsidR="00EF123B" w:rsidRDefault="00EF123B" w:rsidP="00257605">
      <w:pPr>
        <w:pStyle w:val="NoSpacing"/>
        <w:rPr>
          <w:rFonts w:asciiTheme="minorHAnsi" w:hAnsiTheme="minorHAnsi" w:cstheme="minorHAnsi"/>
        </w:rPr>
      </w:pPr>
    </w:p>
    <w:p w14:paraId="64C3DF9E" w14:textId="1A506C33" w:rsidR="002A4F6E" w:rsidRDefault="002A4F6E" w:rsidP="00257605">
      <w:pPr>
        <w:pStyle w:val="NoSpacing"/>
        <w:rPr>
          <w:rFonts w:asciiTheme="minorHAnsi" w:hAnsiTheme="minorHAnsi" w:cstheme="minorHAnsi"/>
          <w:color w:val="000000"/>
        </w:rPr>
      </w:pPr>
      <w:r w:rsidRPr="002A4F6E">
        <w:rPr>
          <w:rFonts w:asciiTheme="minorHAnsi" w:hAnsiTheme="minorHAnsi" w:cstheme="minorHAnsi"/>
        </w:rPr>
        <w:t xml:space="preserve">Swift RJ, Anteau MJ, Ellis KS, MacDonald GJ, Ring MM, Sherfy MH, Toy DL. 2023. </w:t>
      </w:r>
      <w:r>
        <w:rPr>
          <w:rFonts w:asciiTheme="minorHAnsi" w:hAnsiTheme="minorHAnsi" w:cstheme="minorHAnsi"/>
        </w:rPr>
        <w:t>Estimating population viability of the northern Great Plains piping plover population considering updated population structure, climate change, and intensive management</w:t>
      </w:r>
      <w:r w:rsidRPr="007457A0">
        <w:rPr>
          <w:rFonts w:asciiTheme="minorHAnsi" w:hAnsiTheme="minorHAnsi" w:cstheme="minorHAnsi"/>
        </w:rPr>
        <w:t>. Frontiers in Bird Science</w:t>
      </w:r>
      <w:r w:rsidRPr="002A4F6E">
        <w:rPr>
          <w:rFonts w:asciiTheme="minorHAnsi" w:hAnsiTheme="minorHAnsi" w:cstheme="minorHAnsi"/>
        </w:rPr>
        <w:t xml:space="preserve"> 2:1157682.</w:t>
      </w:r>
      <w:r>
        <w:rPr>
          <w:rFonts w:asciiTheme="minorHAnsi" w:hAnsiTheme="minorHAnsi" w:cstheme="minorHAnsi"/>
        </w:rPr>
        <w:t xml:space="preserve"> </w:t>
      </w:r>
      <w:hyperlink r:id="rId53" w:history="1">
        <w:r w:rsidR="009B5BA4" w:rsidRPr="006B39E7">
          <w:rPr>
            <w:rStyle w:val="Hyperlink"/>
            <w:rFonts w:asciiTheme="minorHAnsi" w:hAnsiTheme="minorHAnsi" w:cstheme="minorHAnsi"/>
          </w:rPr>
          <w:t>https://doi.org/10.3389/fbirs.2023.1157682</w:t>
        </w:r>
      </w:hyperlink>
    </w:p>
    <w:p w14:paraId="77CD961B" w14:textId="77777777" w:rsidR="009B5BA4" w:rsidRDefault="009B5BA4" w:rsidP="009B5BA4">
      <w:pPr>
        <w:autoSpaceDE w:val="0"/>
        <w:autoSpaceDN w:val="0"/>
        <w:adjustRightInd w:val="0"/>
        <w:rPr>
          <w:rFonts w:asciiTheme="minorHAnsi" w:hAnsiTheme="minorHAnsi" w:cstheme="minorHAnsi"/>
          <w:color w:val="000000"/>
        </w:rPr>
      </w:pPr>
    </w:p>
    <w:p w14:paraId="76410EC4" w14:textId="09CC72CC" w:rsidR="009B5BA4" w:rsidRPr="00551372" w:rsidRDefault="009B5BA4" w:rsidP="00551372">
      <w:pPr>
        <w:autoSpaceDE w:val="0"/>
        <w:autoSpaceDN w:val="0"/>
        <w:adjustRightInd w:val="0"/>
        <w:rPr>
          <w:rStyle w:val="Hyperlink"/>
          <w:rFonts w:asciiTheme="minorHAnsi" w:hAnsiTheme="minorHAnsi" w:cstheme="minorHAnsi"/>
          <w:color w:val="000000"/>
          <w:u w:val="none"/>
        </w:rPr>
      </w:pPr>
      <w:r w:rsidRPr="009B5BA4">
        <w:rPr>
          <w:rFonts w:asciiTheme="minorHAnsi" w:hAnsiTheme="minorHAnsi" w:cstheme="minorHAnsi"/>
          <w:color w:val="000000"/>
        </w:rPr>
        <w:t xml:space="preserve">U.S. Fish and Wildlife Service. 2023. </w:t>
      </w:r>
      <w:hyperlink r:id="rId54" w:history="1">
        <w:r w:rsidRPr="009B5BA4">
          <w:rPr>
            <w:rStyle w:val="Hyperlink"/>
            <w:rFonts w:asciiTheme="minorHAnsi" w:hAnsiTheme="minorHAnsi" w:cstheme="minorHAnsi"/>
          </w:rPr>
          <w:t>Biological report for the northern Great Plains piping plover population (</w:t>
        </w:r>
        <w:r w:rsidRPr="009B5BA4">
          <w:rPr>
            <w:rStyle w:val="Hyperlink"/>
            <w:rFonts w:asciiTheme="minorHAnsi" w:hAnsiTheme="minorHAnsi" w:cstheme="minorHAnsi"/>
            <w:i/>
            <w:iCs/>
          </w:rPr>
          <w:t xml:space="preserve">Charadrius </w:t>
        </w:r>
        <w:proofErr w:type="spellStart"/>
        <w:r w:rsidRPr="009B5BA4">
          <w:rPr>
            <w:rStyle w:val="Hyperlink"/>
            <w:rFonts w:asciiTheme="minorHAnsi" w:hAnsiTheme="minorHAnsi" w:cstheme="minorHAnsi"/>
            <w:i/>
            <w:iCs/>
          </w:rPr>
          <w:t>melodus</w:t>
        </w:r>
        <w:proofErr w:type="spellEnd"/>
        <w:r w:rsidRPr="009B5BA4">
          <w:rPr>
            <w:rStyle w:val="Hyperlink"/>
            <w:rFonts w:asciiTheme="minorHAnsi" w:hAnsiTheme="minorHAnsi" w:cstheme="minorHAnsi"/>
            <w:i/>
            <w:iCs/>
          </w:rPr>
          <w:t xml:space="preserve"> </w:t>
        </w:r>
        <w:proofErr w:type="spellStart"/>
        <w:r w:rsidRPr="009B5BA4">
          <w:rPr>
            <w:rStyle w:val="Hyperlink"/>
            <w:rFonts w:asciiTheme="minorHAnsi" w:hAnsiTheme="minorHAnsi" w:cstheme="minorHAnsi"/>
            <w:i/>
            <w:iCs/>
          </w:rPr>
          <w:t>circumcinctus</w:t>
        </w:r>
        <w:proofErr w:type="spellEnd"/>
        <w:r w:rsidRPr="009B5BA4">
          <w:rPr>
            <w:rStyle w:val="Hyperlink"/>
            <w:rFonts w:asciiTheme="minorHAnsi" w:hAnsiTheme="minorHAnsi" w:cstheme="minorHAnsi"/>
          </w:rPr>
          <w:t>).</w:t>
        </w:r>
      </w:hyperlink>
      <w:r>
        <w:rPr>
          <w:rFonts w:asciiTheme="minorHAnsi" w:hAnsiTheme="minorHAnsi" w:cstheme="minorHAnsi"/>
          <w:color w:val="000000"/>
        </w:rPr>
        <w:t xml:space="preserve"> </w:t>
      </w:r>
      <w:r w:rsidRPr="009B5BA4">
        <w:rPr>
          <w:rFonts w:asciiTheme="minorHAnsi" w:hAnsiTheme="minorHAnsi" w:cstheme="minorHAnsi"/>
          <w:color w:val="000000"/>
        </w:rPr>
        <w:t>U.S. Fish and Wildlife Service Missouri River Recovery Office.</w:t>
      </w:r>
    </w:p>
    <w:p w14:paraId="51CAAF64" w14:textId="32C61073" w:rsidR="00257605" w:rsidRDefault="00257605" w:rsidP="00562562">
      <w:pPr>
        <w:sectPr w:rsidR="00257605" w:rsidSect="005B280F">
          <w:pgSz w:w="12240" w:h="15840"/>
          <w:pgMar w:top="1440" w:right="1440" w:bottom="1440" w:left="1440" w:header="720" w:footer="720" w:gutter="0"/>
          <w:lnNumType w:countBy="1" w:restart="newSection"/>
          <w:cols w:space="720"/>
          <w:docGrid w:linePitch="360"/>
        </w:sectPr>
      </w:pPr>
    </w:p>
    <w:p w14:paraId="55993C0C" w14:textId="2B5C692E" w:rsidR="00217D49" w:rsidRDefault="00B7144A" w:rsidP="001E7A31">
      <w:pPr>
        <w:pStyle w:val="Heading1"/>
      </w:pPr>
      <w:bookmarkStart w:id="206" w:name="_Toc157060289"/>
      <w:r>
        <w:t>A</w:t>
      </w:r>
      <w:r w:rsidR="00002CA3">
        <w:t>ppendix</w:t>
      </w:r>
      <w:r>
        <w:t xml:space="preserve"> </w:t>
      </w:r>
      <w:r w:rsidR="001015B7">
        <w:t>D</w:t>
      </w:r>
      <w:r>
        <w:t xml:space="preserve">: PRRIP Progress – Land &amp; Water </w:t>
      </w:r>
      <w:r w:rsidR="0067574B">
        <w:t>Milestone Summaries</w:t>
      </w:r>
      <w:bookmarkEnd w:id="206"/>
    </w:p>
    <w:p w14:paraId="2BD16490" w14:textId="77777777" w:rsidR="0096632D" w:rsidRDefault="0096632D" w:rsidP="001E7A31"/>
    <w:p w14:paraId="76C6CE70" w14:textId="15A3B747" w:rsidR="005C0026" w:rsidRPr="005C0026" w:rsidRDefault="005C0026" w:rsidP="00615E4C">
      <w:pPr>
        <w:pStyle w:val="Heading2"/>
      </w:pPr>
      <w:bookmarkStart w:id="207" w:name="_Toc157060290"/>
      <w:r w:rsidRPr="005C0026">
        <w:t xml:space="preserve">Land </w:t>
      </w:r>
      <w:r w:rsidR="0067574B">
        <w:t>Milestone Summary</w:t>
      </w:r>
      <w:bookmarkEnd w:id="207"/>
    </w:p>
    <w:p w14:paraId="10B33C4B" w14:textId="78E375DA" w:rsidR="005C0026" w:rsidRDefault="001D5256" w:rsidP="001E7A31">
      <w:r>
        <w:t xml:space="preserve">Program land interests (in the form of acquisitions, sponsorship/lease, and management agreements) now total 13,810 acres, exceeding </w:t>
      </w:r>
      <w:r w:rsidR="007D2F11" w:rsidRPr="007D2F11">
        <w:t>the 10,000-acre First Increment land objective</w:t>
      </w:r>
      <w:r w:rsidR="0032528A">
        <w:t xml:space="preserve"> (</w:t>
      </w:r>
      <w:r w:rsidR="0032528A" w:rsidRPr="0032528A">
        <w:rPr>
          <w:b/>
          <w:bCs/>
        </w:rPr>
        <w:t>Figure 1</w:t>
      </w:r>
      <w:r w:rsidR="00BE205D">
        <w:rPr>
          <w:b/>
          <w:bCs/>
        </w:rPr>
        <w:t>5</w:t>
      </w:r>
      <w:r w:rsidR="0032528A">
        <w:t>)</w:t>
      </w:r>
      <w:r w:rsidR="00E7609B">
        <w:t xml:space="preserve">. The Program has nearly met the Extension “plus-up” objective of 1,500 acres of complex habitat with 183.5 acres still to be acquired. </w:t>
      </w:r>
      <w:r w:rsidR="007D2F11" w:rsidRPr="007D2F11">
        <w:t>Most of the Program’s habitat lands are located in blocks referred to as habitat complexes. The</w:t>
      </w:r>
      <w:r w:rsidR="002A66E1">
        <w:t xml:space="preserve"> Program manages just under 13,000 acres </w:t>
      </w:r>
      <w:r w:rsidR="0032528A">
        <w:t xml:space="preserve">of complex habitat </w:t>
      </w:r>
      <w:r w:rsidR="002A66E1">
        <w:t xml:space="preserve">in </w:t>
      </w:r>
      <w:r w:rsidR="00FF31A0">
        <w:t xml:space="preserve">eight </w:t>
      </w:r>
      <w:r w:rsidR="007D2F11" w:rsidRPr="007D2F11">
        <w:t>primary habitat complexes (</w:t>
      </w:r>
      <w:r w:rsidR="00FF31A0">
        <w:t xml:space="preserve">Plum Creek, </w:t>
      </w:r>
      <w:r w:rsidR="007D2F11" w:rsidRPr="007D2F11">
        <w:t xml:space="preserve">Cottonwood Ranch, Elm Creek, </w:t>
      </w:r>
      <w:r w:rsidR="00FF31A0">
        <w:t xml:space="preserve">Jerry F. Kenny </w:t>
      </w:r>
      <w:r w:rsidR="007D2F11" w:rsidRPr="007D2F11">
        <w:t>Pawnee, Fort Kearny, Clark Island, Shoemaker Island</w:t>
      </w:r>
      <w:r w:rsidR="00FF31A0">
        <w:t>, and Chapman</w:t>
      </w:r>
      <w:r w:rsidR="00D7349C">
        <w:t xml:space="preserve">; </w:t>
      </w:r>
      <w:r w:rsidR="007D2F11" w:rsidRPr="007D2F11">
        <w:t xml:space="preserve">) with additional complex habitat </w:t>
      </w:r>
      <w:r w:rsidR="00D7349C">
        <w:t xml:space="preserve">in two </w:t>
      </w:r>
      <w:r w:rsidR="007D2F11" w:rsidRPr="007D2F11">
        <w:t xml:space="preserve">other </w:t>
      </w:r>
      <w:r w:rsidR="00D7349C">
        <w:t>bridge segments</w:t>
      </w:r>
      <w:r w:rsidR="007D2F11" w:rsidRPr="007D2F11">
        <w:t xml:space="preserve"> (Minden to Gibbon, Alda to Grand Island)</w:t>
      </w:r>
      <w:r w:rsidR="00356738">
        <w:t xml:space="preserve"> (</w:t>
      </w:r>
      <w:r w:rsidR="00356738" w:rsidRPr="00356738">
        <w:rPr>
          <w:b/>
          <w:bCs/>
        </w:rPr>
        <w:t>Figure 1</w:t>
      </w:r>
      <w:r w:rsidR="00BE205D">
        <w:rPr>
          <w:b/>
          <w:bCs/>
        </w:rPr>
        <w:t>6</w:t>
      </w:r>
      <w:r w:rsidR="00356738">
        <w:t>)</w:t>
      </w:r>
      <w:r w:rsidR="007D2F11" w:rsidRPr="007D2F11">
        <w:t xml:space="preserve">. </w:t>
      </w:r>
      <w:r w:rsidR="00603F8F">
        <w:t xml:space="preserve">The Program also manages just over 841 acres of non-complex </w:t>
      </w:r>
      <w:r w:rsidR="0032528A">
        <w:t>habitat</w:t>
      </w:r>
      <w:r w:rsidR="00356738">
        <w:t xml:space="preserve"> (</w:t>
      </w:r>
      <w:r w:rsidR="00356738" w:rsidRPr="00356738">
        <w:rPr>
          <w:b/>
          <w:bCs/>
        </w:rPr>
        <w:t>Figure 1</w:t>
      </w:r>
      <w:r w:rsidR="00BE205D">
        <w:rPr>
          <w:b/>
          <w:bCs/>
        </w:rPr>
        <w:t>7</w:t>
      </w:r>
      <w:r w:rsidR="00356738">
        <w:t>)</w:t>
      </w:r>
      <w:r w:rsidR="0032528A">
        <w:t>.</w:t>
      </w:r>
    </w:p>
    <w:p w14:paraId="6DF015A6" w14:textId="77777777" w:rsidR="00446D6A" w:rsidRDefault="00446D6A" w:rsidP="001E7A31"/>
    <w:p w14:paraId="0917F2A6" w14:textId="13E55E00" w:rsidR="00446D6A" w:rsidRDefault="0067574B" w:rsidP="00C43964">
      <w:pPr>
        <w:jc w:val="center"/>
      </w:pPr>
      <w:r w:rsidRPr="0067574B">
        <w:rPr>
          <w:noProof/>
        </w:rPr>
        <w:drawing>
          <wp:inline distT="0" distB="0" distL="0" distR="0" wp14:anchorId="6153E790" wp14:editId="6AE756AD">
            <wp:extent cx="5743575" cy="4391025"/>
            <wp:effectExtent l="0" t="0" r="9525" b="9525"/>
            <wp:docPr id="525305213" name="Picture 1" descr="A screenshot of a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305213" name="Picture 1" descr="A screenshot of a report&#10;&#10;Description automatically generated"/>
                    <pic:cNvPicPr/>
                  </pic:nvPicPr>
                  <pic:blipFill>
                    <a:blip r:embed="rId55"/>
                    <a:stretch>
                      <a:fillRect/>
                    </a:stretch>
                  </pic:blipFill>
                  <pic:spPr>
                    <a:xfrm>
                      <a:off x="0" y="0"/>
                      <a:ext cx="5743575" cy="4391025"/>
                    </a:xfrm>
                    <a:prstGeom prst="rect">
                      <a:avLst/>
                    </a:prstGeom>
                  </pic:spPr>
                </pic:pic>
              </a:graphicData>
            </a:graphic>
          </wp:inline>
        </w:drawing>
      </w:r>
    </w:p>
    <w:p w14:paraId="2B2606A2" w14:textId="21BA6CBF" w:rsidR="0032528A" w:rsidRDefault="0032528A" w:rsidP="0032528A">
      <w:r w:rsidRPr="0032528A">
        <w:rPr>
          <w:b/>
          <w:bCs/>
        </w:rPr>
        <w:t>Figure 1</w:t>
      </w:r>
      <w:r w:rsidR="00BE205D">
        <w:rPr>
          <w:b/>
          <w:bCs/>
        </w:rPr>
        <w:t>5</w:t>
      </w:r>
      <w:r w:rsidRPr="0032528A">
        <w:rPr>
          <w:b/>
          <w:bCs/>
        </w:rPr>
        <w:t>.</w:t>
      </w:r>
      <w:r>
        <w:t xml:space="preserve"> PRRIP Land Milestone Summary, as of December 31, 2023.</w:t>
      </w:r>
    </w:p>
    <w:p w14:paraId="681E820D" w14:textId="6D2E9FD7" w:rsidR="006B2B3C" w:rsidRDefault="004C16D7" w:rsidP="00356738">
      <w:pPr>
        <w:jc w:val="center"/>
      </w:pPr>
      <w:r w:rsidRPr="004C16D7">
        <w:rPr>
          <w:noProof/>
        </w:rPr>
        <w:drawing>
          <wp:inline distT="0" distB="0" distL="0" distR="0" wp14:anchorId="357BAE58" wp14:editId="64DC3D7C">
            <wp:extent cx="5743575" cy="6153150"/>
            <wp:effectExtent l="0" t="0" r="9525" b="0"/>
            <wp:docPr id="864702297"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02297" name="Picture 1" descr="A screenshot of a graph&#10;&#10;Description automatically generated"/>
                    <pic:cNvPicPr/>
                  </pic:nvPicPr>
                  <pic:blipFill>
                    <a:blip r:embed="rId56"/>
                    <a:stretch>
                      <a:fillRect/>
                    </a:stretch>
                  </pic:blipFill>
                  <pic:spPr>
                    <a:xfrm>
                      <a:off x="0" y="0"/>
                      <a:ext cx="5743575" cy="6153150"/>
                    </a:xfrm>
                    <a:prstGeom prst="rect">
                      <a:avLst/>
                    </a:prstGeom>
                  </pic:spPr>
                </pic:pic>
              </a:graphicData>
            </a:graphic>
          </wp:inline>
        </w:drawing>
      </w:r>
    </w:p>
    <w:p w14:paraId="2BD5B0EF" w14:textId="45D3C707" w:rsidR="0032528A" w:rsidRDefault="0032528A" w:rsidP="00832A8D">
      <w:pPr>
        <w:pStyle w:val="NoSpacing"/>
      </w:pPr>
      <w:r w:rsidRPr="0032528A">
        <w:rPr>
          <w:b/>
          <w:bCs/>
        </w:rPr>
        <w:t>Figure 1</w:t>
      </w:r>
      <w:r w:rsidR="00BE205D">
        <w:rPr>
          <w:b/>
          <w:bCs/>
        </w:rPr>
        <w:t>6</w:t>
      </w:r>
      <w:r w:rsidRPr="0032528A">
        <w:rPr>
          <w:b/>
          <w:bCs/>
        </w:rPr>
        <w:t>.</w:t>
      </w:r>
      <w:r>
        <w:t xml:space="preserve"> PRRIP Complex Habitat.</w:t>
      </w:r>
    </w:p>
    <w:p w14:paraId="59E71FCE" w14:textId="77777777" w:rsidR="00C43964" w:rsidRDefault="00285DB3" w:rsidP="00285DB3">
      <w:pPr>
        <w:jc w:val="center"/>
      </w:pPr>
      <w:r w:rsidRPr="00285DB3">
        <w:rPr>
          <w:noProof/>
        </w:rPr>
        <w:drawing>
          <wp:inline distT="0" distB="0" distL="0" distR="0" wp14:anchorId="7298A125" wp14:editId="39D10CC7">
            <wp:extent cx="5757415" cy="6339840"/>
            <wp:effectExtent l="0" t="0" r="0" b="3810"/>
            <wp:docPr id="3391091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0918" name="Picture 1" descr="A screenshot of a graph&#10;&#10;Description automatically generated"/>
                    <pic:cNvPicPr/>
                  </pic:nvPicPr>
                  <pic:blipFill>
                    <a:blip r:embed="rId57"/>
                    <a:stretch>
                      <a:fillRect/>
                    </a:stretch>
                  </pic:blipFill>
                  <pic:spPr>
                    <a:xfrm>
                      <a:off x="0" y="0"/>
                      <a:ext cx="5763680" cy="6346738"/>
                    </a:xfrm>
                    <a:prstGeom prst="rect">
                      <a:avLst/>
                    </a:prstGeom>
                  </pic:spPr>
                </pic:pic>
              </a:graphicData>
            </a:graphic>
          </wp:inline>
        </w:drawing>
      </w:r>
    </w:p>
    <w:p w14:paraId="32A18D94" w14:textId="6610C337" w:rsidR="00285DB3" w:rsidRDefault="00356738" w:rsidP="00356738">
      <w:pPr>
        <w:pStyle w:val="NoSpacing"/>
      </w:pPr>
      <w:r w:rsidRPr="0032528A">
        <w:rPr>
          <w:b/>
          <w:bCs/>
        </w:rPr>
        <w:t>Figure 1</w:t>
      </w:r>
      <w:r w:rsidR="00BE205D">
        <w:rPr>
          <w:b/>
          <w:bCs/>
        </w:rPr>
        <w:t>7</w:t>
      </w:r>
      <w:r w:rsidRPr="0032528A">
        <w:rPr>
          <w:b/>
          <w:bCs/>
        </w:rPr>
        <w:t>.</w:t>
      </w:r>
      <w:r>
        <w:t xml:space="preserve"> PRRIP Non-Complex Habitat.</w:t>
      </w:r>
    </w:p>
    <w:p w14:paraId="3FB1BE59" w14:textId="1D2D6C18" w:rsidR="00356738" w:rsidRPr="00C43964" w:rsidRDefault="00356738" w:rsidP="00356738">
      <w:pPr>
        <w:sectPr w:rsidR="00356738" w:rsidRPr="00C43964" w:rsidSect="005B280F">
          <w:pgSz w:w="12240" w:h="15840"/>
          <w:pgMar w:top="1440" w:right="1440" w:bottom="1440" w:left="1440" w:header="720" w:footer="720" w:gutter="0"/>
          <w:lnNumType w:countBy="1" w:restart="newSection"/>
          <w:cols w:space="720"/>
          <w:docGrid w:linePitch="360"/>
        </w:sectPr>
      </w:pPr>
    </w:p>
    <w:p w14:paraId="144EF69F" w14:textId="1E3EA5D7" w:rsidR="00872735" w:rsidRPr="00872735" w:rsidRDefault="00872735" w:rsidP="00615E4C">
      <w:pPr>
        <w:pStyle w:val="Heading2"/>
      </w:pPr>
      <w:bookmarkStart w:id="208" w:name="_Toc157060291"/>
      <w:r w:rsidRPr="00872735">
        <w:t xml:space="preserve">Water </w:t>
      </w:r>
      <w:r w:rsidR="0067574B">
        <w:t>Milestone Summary</w:t>
      </w:r>
      <w:bookmarkEnd w:id="208"/>
    </w:p>
    <w:p w14:paraId="257144B1" w14:textId="77777777" w:rsidR="00D8735A" w:rsidRPr="00D8735A" w:rsidRDefault="00D8735A" w:rsidP="00D8735A">
      <w:pPr>
        <w:pStyle w:val="NoSpacing"/>
        <w:rPr>
          <w:rFonts w:asciiTheme="minorHAnsi" w:hAnsiTheme="minorHAnsi" w:cstheme="minorHAnsi"/>
          <w:color w:val="000000" w:themeColor="text1"/>
        </w:rPr>
      </w:pPr>
      <w:r w:rsidRPr="00D8735A">
        <w:rPr>
          <w:rFonts w:asciiTheme="minorHAnsi" w:hAnsiTheme="minorHAnsi" w:cstheme="minorHAnsi"/>
          <w:color w:val="000000" w:themeColor="text1"/>
        </w:rPr>
        <w:t>The Program’s First Increment water objective (the Water Milestone) was to reduce deficits to U.S. Fish and Wildlife Service (Service) target flows for the Platte River near Grand Island by an annual average of 130,000 – 150,000 acre-feet (AF). The Program did not achieve that Milestone by the end of 2019 and that served as the impetus for the Extension (years 2020-2032). The water objective as refined for the Extension is to achieve at least 120,000 AF of annual reductions to target flow deficits as soon as possible and then implement Program science in manner that would provide insight as to whether an additional 10,000 AF of target flow deficit reductions is justified.</w:t>
      </w:r>
    </w:p>
    <w:p w14:paraId="0564FC17" w14:textId="77777777" w:rsidR="00D8735A" w:rsidRPr="00D8735A" w:rsidRDefault="00D8735A" w:rsidP="00D8735A">
      <w:pPr>
        <w:pStyle w:val="NoSpacing"/>
        <w:rPr>
          <w:rFonts w:asciiTheme="minorHAnsi" w:hAnsiTheme="minorHAnsi" w:cstheme="minorHAnsi"/>
          <w:color w:val="000000" w:themeColor="text1"/>
        </w:rPr>
      </w:pPr>
    </w:p>
    <w:p w14:paraId="2C8BF51E" w14:textId="67323F3A" w:rsidR="00872735" w:rsidRPr="006D0C09" w:rsidRDefault="00D8735A" w:rsidP="00D8735A">
      <w:pPr>
        <w:pStyle w:val="NoSpacing"/>
        <w:rPr>
          <w:rFonts w:asciiTheme="minorHAnsi" w:hAnsiTheme="minorHAnsi" w:cstheme="minorHAnsi"/>
          <w:color w:val="000000" w:themeColor="text1"/>
          <w:sz w:val="16"/>
          <w:szCs w:val="16"/>
        </w:rPr>
      </w:pPr>
      <w:r w:rsidRPr="00D8735A">
        <w:rPr>
          <w:rFonts w:asciiTheme="minorHAnsi" w:hAnsiTheme="minorHAnsi" w:cstheme="minorHAnsi"/>
          <w:color w:val="000000" w:themeColor="text1"/>
        </w:rPr>
        <w:t>The current Program Extension water strategy—a combination of operational projects, operational projects with an uncertain future, and project concepts—is estimated to achieve about 125,000 AF (</w:t>
      </w:r>
      <w:r w:rsidRPr="00D8735A">
        <w:rPr>
          <w:rFonts w:asciiTheme="minorHAnsi" w:hAnsiTheme="minorHAnsi" w:cstheme="minorHAnsi"/>
          <w:b/>
          <w:bCs/>
          <w:color w:val="000000" w:themeColor="text1"/>
        </w:rPr>
        <w:t>Figure 1</w:t>
      </w:r>
      <w:r w:rsidR="00BE205D">
        <w:rPr>
          <w:rFonts w:asciiTheme="minorHAnsi" w:hAnsiTheme="minorHAnsi" w:cstheme="minorHAnsi"/>
          <w:b/>
          <w:bCs/>
          <w:color w:val="000000" w:themeColor="text1"/>
        </w:rPr>
        <w:t>8</w:t>
      </w:r>
      <w:r w:rsidRPr="00D8735A">
        <w:rPr>
          <w:rFonts w:asciiTheme="minorHAnsi" w:hAnsiTheme="minorHAnsi" w:cstheme="minorHAnsi"/>
          <w:color w:val="000000" w:themeColor="text1"/>
        </w:rPr>
        <w:t>) of annual target flow deficit reductions if fully implemented. That strategy includes storage water from Nebraska and Wyoming that is credited to the Lake McConaughy Environmental Account, groundwater recharge in Colorado and Nebraska, and recapture projects to maximize the benefit to the Platte River from recharged water (</w:t>
      </w:r>
      <w:r w:rsidRPr="00D8735A">
        <w:rPr>
          <w:rFonts w:asciiTheme="minorHAnsi" w:hAnsiTheme="minorHAnsi" w:cstheme="minorHAnsi"/>
          <w:b/>
          <w:bCs/>
          <w:color w:val="000000" w:themeColor="text1"/>
        </w:rPr>
        <w:t>Figure 1</w:t>
      </w:r>
      <w:r w:rsidR="00BE205D">
        <w:rPr>
          <w:rFonts w:asciiTheme="minorHAnsi" w:hAnsiTheme="minorHAnsi" w:cstheme="minorHAnsi"/>
          <w:b/>
          <w:bCs/>
          <w:color w:val="000000" w:themeColor="text1"/>
        </w:rPr>
        <w:t>9</w:t>
      </w:r>
      <w:r w:rsidRPr="00D8735A">
        <w:rPr>
          <w:rFonts w:asciiTheme="minorHAnsi" w:hAnsiTheme="minorHAnsi" w:cstheme="minorHAnsi"/>
          <w:color w:val="000000" w:themeColor="text1"/>
        </w:rPr>
        <w:t>).</w:t>
      </w:r>
    </w:p>
    <w:p w14:paraId="7137045A" w14:textId="12C16C3E" w:rsidR="005C0026" w:rsidRDefault="001745D0" w:rsidP="00C43964">
      <w:pPr>
        <w:jc w:val="center"/>
      </w:pPr>
      <w:r w:rsidRPr="001745D0">
        <w:rPr>
          <w:noProof/>
        </w:rPr>
        <w:drawing>
          <wp:inline distT="0" distB="0" distL="0" distR="0" wp14:anchorId="21623189" wp14:editId="19A4CA63">
            <wp:extent cx="5141577" cy="5090160"/>
            <wp:effectExtent l="0" t="0" r="2540" b="0"/>
            <wp:docPr id="703356701"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356701" name="Picture 1" descr="A screenshot of a document&#10;&#10;Description automatically generated"/>
                    <pic:cNvPicPr/>
                  </pic:nvPicPr>
                  <pic:blipFill>
                    <a:blip r:embed="rId58"/>
                    <a:stretch>
                      <a:fillRect/>
                    </a:stretch>
                  </pic:blipFill>
                  <pic:spPr>
                    <a:xfrm>
                      <a:off x="0" y="0"/>
                      <a:ext cx="5162457" cy="5110831"/>
                    </a:xfrm>
                    <a:prstGeom prst="rect">
                      <a:avLst/>
                    </a:prstGeom>
                  </pic:spPr>
                </pic:pic>
              </a:graphicData>
            </a:graphic>
          </wp:inline>
        </w:drawing>
      </w:r>
    </w:p>
    <w:p w14:paraId="5DC0F8B2" w14:textId="2F839E2B" w:rsidR="009939BD" w:rsidRDefault="009939BD" w:rsidP="009939BD">
      <w:r w:rsidRPr="0032528A">
        <w:rPr>
          <w:b/>
          <w:bCs/>
        </w:rPr>
        <w:t>Figure 1</w:t>
      </w:r>
      <w:r w:rsidR="00BE205D">
        <w:rPr>
          <w:b/>
          <w:bCs/>
        </w:rPr>
        <w:t>8</w:t>
      </w:r>
      <w:r w:rsidRPr="0032528A">
        <w:rPr>
          <w:b/>
          <w:bCs/>
        </w:rPr>
        <w:t>.</w:t>
      </w:r>
      <w:r>
        <w:t xml:space="preserve"> PRRIP Water Milestone Summary, as of December 31, 2023.</w:t>
      </w:r>
    </w:p>
    <w:p w14:paraId="09962272" w14:textId="4C9080D0" w:rsidR="001745D0" w:rsidRDefault="00D33786" w:rsidP="00C43964">
      <w:pPr>
        <w:jc w:val="center"/>
      </w:pPr>
      <w:r w:rsidRPr="00D33786">
        <w:rPr>
          <w:noProof/>
        </w:rPr>
        <w:drawing>
          <wp:inline distT="0" distB="0" distL="0" distR="0" wp14:anchorId="5EAA9210" wp14:editId="50B25C3C">
            <wp:extent cx="5762625" cy="4371975"/>
            <wp:effectExtent l="0" t="0" r="9525" b="9525"/>
            <wp:docPr id="254681045"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81045" name="Picture 1" descr="A screenshot of a document&#10;&#10;Description automatically generated"/>
                    <pic:cNvPicPr/>
                  </pic:nvPicPr>
                  <pic:blipFill>
                    <a:blip r:embed="rId59"/>
                    <a:stretch>
                      <a:fillRect/>
                    </a:stretch>
                  </pic:blipFill>
                  <pic:spPr>
                    <a:xfrm>
                      <a:off x="0" y="0"/>
                      <a:ext cx="5762625" cy="4371975"/>
                    </a:xfrm>
                    <a:prstGeom prst="rect">
                      <a:avLst/>
                    </a:prstGeom>
                  </pic:spPr>
                </pic:pic>
              </a:graphicData>
            </a:graphic>
          </wp:inline>
        </w:drawing>
      </w:r>
    </w:p>
    <w:p w14:paraId="124C7433" w14:textId="0D77799E" w:rsidR="002758A8" w:rsidRPr="001E7A31" w:rsidRDefault="002758A8" w:rsidP="002758A8">
      <w:r w:rsidRPr="009939BD">
        <w:rPr>
          <w:b/>
          <w:bCs/>
        </w:rPr>
        <w:t>Figure 1</w:t>
      </w:r>
      <w:r w:rsidR="00BE205D">
        <w:rPr>
          <w:b/>
          <w:bCs/>
        </w:rPr>
        <w:t>9</w:t>
      </w:r>
      <w:r w:rsidRPr="009939BD">
        <w:rPr>
          <w:b/>
          <w:bCs/>
        </w:rPr>
        <w:t>.</w:t>
      </w:r>
      <w:r>
        <w:t xml:space="preserve"> PRRIP Water </w:t>
      </w:r>
      <w:r w:rsidR="009939BD">
        <w:t>Projects (storage, recharge, and recapture).</w:t>
      </w:r>
    </w:p>
    <w:sectPr w:rsidR="002758A8" w:rsidRPr="001E7A31" w:rsidSect="005B280F">
      <w:pgSz w:w="12240" w:h="15840"/>
      <w:pgMar w:top="1440" w:right="1440" w:bottom="1440" w:left="1440" w:header="720" w:footer="720" w:gutter="0"/>
      <w:lnNumType w:countBy="1" w:restart="newSection"/>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75B98A" w14:textId="77777777" w:rsidR="005B280F" w:rsidRDefault="005B280F" w:rsidP="00767404">
      <w:r>
        <w:separator/>
      </w:r>
    </w:p>
  </w:endnote>
  <w:endnote w:type="continuationSeparator" w:id="0">
    <w:p w14:paraId="58E26F46" w14:textId="77777777" w:rsidR="005B280F" w:rsidRDefault="005B280F" w:rsidP="00767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1044675"/>
      <w:docPartObj>
        <w:docPartGallery w:val="Page Numbers (Bottom of Page)"/>
        <w:docPartUnique/>
      </w:docPartObj>
    </w:sdtPr>
    <w:sdtEndPr>
      <w:rPr>
        <w:noProof/>
        <w:sz w:val="16"/>
        <w:szCs w:val="16"/>
      </w:rPr>
    </w:sdtEndPr>
    <w:sdtContent>
      <w:p w14:paraId="292F83CC" w14:textId="241AE291" w:rsidR="00767404" w:rsidRPr="00767404" w:rsidRDefault="007615EA">
        <w:pPr>
          <w:pStyle w:val="Footer"/>
          <w:rPr>
            <w:sz w:val="16"/>
            <w:szCs w:val="16"/>
          </w:rPr>
        </w:pPr>
        <w:r>
          <w:t xml:space="preserve"> </w:t>
        </w:r>
        <w:r w:rsidR="00047EC6">
          <w:rPr>
            <w:sz w:val="16"/>
            <w:szCs w:val="16"/>
          </w:rPr>
          <w:t>2024 P</w:t>
        </w:r>
        <w:r w:rsidR="00767404" w:rsidRPr="00767404">
          <w:rPr>
            <w:sz w:val="16"/>
            <w:szCs w:val="16"/>
          </w:rPr>
          <w:t xml:space="preserve">RRIP </w:t>
        </w:r>
        <w:proofErr w:type="spellStart"/>
        <w:r w:rsidR="00767404" w:rsidRPr="00767404">
          <w:rPr>
            <w:sz w:val="16"/>
            <w:szCs w:val="16"/>
          </w:rPr>
          <w:t>S</w:t>
        </w:r>
        <w:r w:rsidR="00657224">
          <w:rPr>
            <w:sz w:val="16"/>
            <w:szCs w:val="16"/>
          </w:rPr>
          <w:t>oPR</w:t>
        </w:r>
        <w:proofErr w:type="spellEnd"/>
        <w:r w:rsidR="00767404" w:rsidRPr="00767404">
          <w:rPr>
            <w:sz w:val="16"/>
            <w:szCs w:val="16"/>
          </w:rPr>
          <w:tab/>
        </w:r>
        <w:r w:rsidR="00767404" w:rsidRPr="00767404">
          <w:rPr>
            <w:sz w:val="16"/>
            <w:szCs w:val="16"/>
          </w:rPr>
          <w:tab/>
          <w:t xml:space="preserve">Page | </w:t>
        </w:r>
        <w:r w:rsidR="00767404" w:rsidRPr="00767404">
          <w:rPr>
            <w:sz w:val="16"/>
            <w:szCs w:val="16"/>
          </w:rPr>
          <w:fldChar w:fldCharType="begin"/>
        </w:r>
        <w:r w:rsidR="00767404" w:rsidRPr="00767404">
          <w:rPr>
            <w:sz w:val="16"/>
            <w:szCs w:val="16"/>
          </w:rPr>
          <w:instrText xml:space="preserve"> PAGE   \* MERGEFORMAT </w:instrText>
        </w:r>
        <w:r w:rsidR="00767404" w:rsidRPr="00767404">
          <w:rPr>
            <w:sz w:val="16"/>
            <w:szCs w:val="16"/>
          </w:rPr>
          <w:fldChar w:fldCharType="separate"/>
        </w:r>
        <w:r w:rsidR="00767404" w:rsidRPr="00767404">
          <w:rPr>
            <w:noProof/>
            <w:sz w:val="16"/>
            <w:szCs w:val="16"/>
          </w:rPr>
          <w:t>2</w:t>
        </w:r>
        <w:r w:rsidR="00767404" w:rsidRPr="00767404">
          <w:rPr>
            <w:noProof/>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DB084" w14:textId="77777777" w:rsidR="005B280F" w:rsidRDefault="005B280F" w:rsidP="00767404">
      <w:r>
        <w:separator/>
      </w:r>
    </w:p>
  </w:footnote>
  <w:footnote w:type="continuationSeparator" w:id="0">
    <w:p w14:paraId="76568B01" w14:textId="77777777" w:rsidR="005B280F" w:rsidRDefault="005B280F" w:rsidP="00767404">
      <w:r>
        <w:continuationSeparator/>
      </w:r>
    </w:p>
  </w:footnote>
  <w:footnote w:id="1">
    <w:p w14:paraId="1A20C9BA" w14:textId="77777777" w:rsidR="00953BAF" w:rsidRPr="00953BAF" w:rsidRDefault="00953BAF" w:rsidP="00953BAF">
      <w:pPr>
        <w:pStyle w:val="FootnoteText"/>
        <w:rPr>
          <w:sz w:val="16"/>
          <w:szCs w:val="16"/>
        </w:rPr>
      </w:pPr>
      <w:r w:rsidRPr="00953BAF">
        <w:rPr>
          <w:rStyle w:val="FootnoteReference"/>
          <w:sz w:val="16"/>
          <w:szCs w:val="16"/>
        </w:rPr>
        <w:footnoteRef/>
      </w:r>
      <w:r w:rsidRPr="00953BAF">
        <w:rPr>
          <w:sz w:val="16"/>
          <w:szCs w:val="16"/>
        </w:rPr>
        <w:t xml:space="preserve"> For example, a channel with a TUCW of 1,000 ft bisected by a single vegetated island could have a MUCW ranging from 500 ft to 1,000 ft depending on the location of the island within the channel. </w:t>
      </w:r>
    </w:p>
  </w:footnote>
  <w:footnote w:id="2">
    <w:p w14:paraId="76E7A77A" w14:textId="77777777" w:rsidR="00953BAF" w:rsidRDefault="00953BAF" w:rsidP="00953BAF">
      <w:pPr>
        <w:pStyle w:val="FootnoteText"/>
      </w:pPr>
      <w:r w:rsidRPr="00953BAF">
        <w:rPr>
          <w:rStyle w:val="FootnoteReference"/>
          <w:sz w:val="16"/>
          <w:szCs w:val="16"/>
        </w:rPr>
        <w:footnoteRef/>
      </w:r>
      <w:r w:rsidRPr="00953BAF">
        <w:rPr>
          <w:sz w:val="16"/>
          <w:szCs w:val="16"/>
        </w:rPr>
        <w:t xml:space="preserve"> First Increment research indicated that 40-day mean peak discharge was the best predictor of changes in TUCW during the First Increment.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48BD" w14:textId="5898D0E3" w:rsidR="00767404" w:rsidRDefault="00767404">
    <w:pPr>
      <w:pStyle w:val="Header"/>
      <w:rPr>
        <w:rFonts w:asciiTheme="minorHAnsi" w:hAnsiTheme="minorHAnsi" w:cstheme="minorHAnsi"/>
        <w:color w:val="000000" w:themeColor="text1"/>
        <w:sz w:val="16"/>
        <w:szCs w:val="16"/>
      </w:rPr>
    </w:pPr>
    <w:r>
      <w:rPr>
        <w:rFonts w:ascii="Times New Roman" w:hAnsi="Times New Roman" w:cs="Times New Roman"/>
        <w:noProof/>
        <w:sz w:val="24"/>
      </w:rPr>
      <mc:AlternateContent>
        <mc:Choice Requires="wps">
          <w:drawing>
            <wp:anchor distT="4294967295" distB="4294967295" distL="114300" distR="114300" simplePos="0" relativeHeight="251659264" behindDoc="0" locked="0" layoutInCell="1" allowOverlap="1" wp14:anchorId="69F15F65" wp14:editId="51984EE4">
              <wp:simplePos x="0" y="0"/>
              <wp:positionH relativeFrom="column">
                <wp:posOffset>0</wp:posOffset>
              </wp:positionH>
              <wp:positionV relativeFrom="paragraph">
                <wp:posOffset>440054</wp:posOffset>
              </wp:positionV>
              <wp:extent cx="2743200" cy="0"/>
              <wp:effectExtent l="0" t="0" r="0" b="0"/>
              <wp:wrapNone/>
              <wp:docPr id="500709054"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270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70CF1379"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" strokeweight="1pt"/>
          </w:pict>
        </mc:Fallback>
      </mc:AlternateContent>
    </w:r>
    <w:r>
      <w:rPr>
        <w:rFonts w:ascii="Times New Roman" w:hAnsi="Times New Roman" w:cs="Times New Roman"/>
        <w:noProof/>
        <w:sz w:val="24"/>
      </w:rPr>
      <mc:AlternateContent>
        <mc:Choice Requires="wps">
          <w:drawing>
            <wp:anchor distT="4294967295" distB="4294967295" distL="114300" distR="114300" simplePos="0" relativeHeight="251660288" behindDoc="0" locked="0" layoutInCell="1" allowOverlap="1" wp14:anchorId="6BE58C57" wp14:editId="1918EE49">
              <wp:simplePos x="0" y="0"/>
              <wp:positionH relativeFrom="column">
                <wp:posOffset>3200400</wp:posOffset>
              </wp:positionH>
              <wp:positionV relativeFrom="paragraph">
                <wp:posOffset>437514</wp:posOffset>
              </wp:positionV>
              <wp:extent cx="2743200" cy="0"/>
              <wp:effectExtent l="0" t="0" r="0" b="0"/>
              <wp:wrapNone/>
              <wp:docPr id="1010992245"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270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490CC8D2" id="Straight Arrow Connector 1" o:spid="_x0000_s1026" type="#_x0000_t32" style="position:absolute;margin-left:252pt;margin-top:34.45pt;width:3in;height:0;flip:x;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" strokeweight="1pt"/>
          </w:pict>
        </mc:Fallback>
      </mc:AlternateContent>
    </w:r>
    <w:r w:rsidRPr="003571D2">
      <w:rPr>
        <w:rFonts w:asciiTheme="minorHAnsi" w:hAnsiTheme="minorHAnsi" w:cstheme="minorHAnsi"/>
        <w:color w:val="000000" w:themeColor="text1"/>
        <w:sz w:val="16"/>
        <w:szCs w:val="16"/>
      </w:rPr>
      <w:t xml:space="preserve">PRRIP – EDO </w:t>
    </w:r>
    <w:r w:rsidR="00865B51">
      <w:rPr>
        <w:rFonts w:asciiTheme="minorHAnsi" w:hAnsiTheme="minorHAnsi" w:cstheme="minorHAnsi"/>
        <w:color w:val="000000" w:themeColor="text1"/>
        <w:sz w:val="16"/>
        <w:szCs w:val="16"/>
      </w:rPr>
      <w:t xml:space="preserve">Review </w:t>
    </w:r>
    <w:r>
      <w:rPr>
        <w:rFonts w:asciiTheme="minorHAnsi" w:hAnsiTheme="minorHAnsi" w:cstheme="minorHAnsi"/>
        <w:color w:val="000000" w:themeColor="text1"/>
        <w:sz w:val="16"/>
        <w:szCs w:val="16"/>
      </w:rPr>
      <w:t>Draft</w:t>
    </w:r>
    <w:r w:rsidRPr="003571D2">
      <w:rPr>
        <w:rFonts w:asciiTheme="minorHAnsi" w:hAnsiTheme="minorHAnsi" w:cstheme="minorHAnsi"/>
        <w:color w:val="000000" w:themeColor="text1"/>
        <w:sz w:val="16"/>
        <w:szCs w:val="16"/>
      </w:rPr>
      <w:tab/>
    </w:r>
    <w:r w:rsidRPr="003571D2">
      <w:rPr>
        <w:rFonts w:asciiTheme="minorHAnsi" w:hAnsiTheme="minorHAnsi" w:cstheme="minorHAnsi"/>
        <w:noProof/>
        <w:color w:val="000000" w:themeColor="text1"/>
        <w:sz w:val="16"/>
        <w:szCs w:val="16"/>
      </w:rPr>
      <w:drawing>
        <wp:inline distT="0" distB="0" distL="0" distR="0" wp14:anchorId="73ADD208" wp14:editId="6E5F6BCC">
          <wp:extent cx="431081" cy="647700"/>
          <wp:effectExtent l="0" t="0" r="7620" b="0"/>
          <wp:docPr id="788902838" name="Picture 78890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31081" cy="647700"/>
                  </a:xfrm>
                  <a:prstGeom prst="rect">
                    <a:avLst/>
                  </a:prstGeom>
                  <a:noFill/>
                  <a:ln>
                    <a:noFill/>
                  </a:ln>
                </pic:spPr>
              </pic:pic>
            </a:graphicData>
          </a:graphic>
        </wp:inline>
      </w:drawing>
    </w:r>
    <w:r w:rsidRPr="003571D2">
      <w:rPr>
        <w:rFonts w:asciiTheme="minorHAnsi" w:hAnsiTheme="minorHAnsi" w:cstheme="minorHAnsi"/>
        <w:color w:val="000000" w:themeColor="text1"/>
        <w:sz w:val="16"/>
        <w:szCs w:val="16"/>
      </w:rPr>
      <w:tab/>
    </w:r>
    <w:r w:rsidR="00566A74">
      <w:rPr>
        <w:rFonts w:asciiTheme="minorHAnsi" w:hAnsiTheme="minorHAnsi" w:cstheme="minorHAnsi"/>
        <w:color w:val="000000" w:themeColor="text1"/>
        <w:sz w:val="16"/>
        <w:szCs w:val="16"/>
      </w:rPr>
      <w:t>0</w:t>
    </w:r>
    <w:r w:rsidR="00D65DE8">
      <w:rPr>
        <w:rFonts w:asciiTheme="minorHAnsi" w:hAnsiTheme="minorHAnsi" w:cstheme="minorHAnsi"/>
        <w:color w:val="000000" w:themeColor="text1"/>
        <w:sz w:val="16"/>
        <w:szCs w:val="16"/>
      </w:rPr>
      <w:t>2</w:t>
    </w:r>
    <w:r w:rsidR="00D76303">
      <w:rPr>
        <w:rFonts w:asciiTheme="minorHAnsi" w:hAnsiTheme="minorHAnsi" w:cstheme="minorHAnsi"/>
        <w:color w:val="000000" w:themeColor="text1"/>
        <w:sz w:val="16"/>
        <w:szCs w:val="16"/>
      </w:rPr>
      <w:t>/</w:t>
    </w:r>
    <w:r w:rsidR="00D65DE8">
      <w:rPr>
        <w:rFonts w:asciiTheme="minorHAnsi" w:hAnsiTheme="minorHAnsi" w:cstheme="minorHAnsi"/>
        <w:color w:val="000000" w:themeColor="text1"/>
        <w:sz w:val="16"/>
        <w:szCs w:val="16"/>
      </w:rPr>
      <w:t>02</w:t>
    </w:r>
    <w:r w:rsidR="00D76303">
      <w:rPr>
        <w:rFonts w:asciiTheme="minorHAnsi" w:hAnsiTheme="minorHAnsi" w:cstheme="minorHAnsi"/>
        <w:color w:val="000000" w:themeColor="text1"/>
        <w:sz w:val="16"/>
        <w:szCs w:val="16"/>
      </w:rPr>
      <w:t>/202</w:t>
    </w:r>
    <w:r w:rsidR="00566A74">
      <w:rPr>
        <w:rFonts w:asciiTheme="minorHAnsi" w:hAnsiTheme="minorHAnsi" w:cstheme="minorHAnsi"/>
        <w:color w:val="000000" w:themeColor="text1"/>
        <w:sz w:val="16"/>
        <w:szCs w:val="16"/>
      </w:rPr>
      <w:t>4</w:t>
    </w:r>
  </w:p>
  <w:p w14:paraId="4A4C0DBD" w14:textId="77777777" w:rsidR="00566A74" w:rsidRPr="00767404" w:rsidRDefault="00566A74">
    <w:pPr>
      <w:pStyle w:val="Header"/>
      <w:rPr>
        <w:rFonts w:asciiTheme="minorHAnsi" w:hAnsiTheme="minorHAnsi" w:cstheme="minorHAnsi"/>
        <w:color w:val="000000" w:themeColor="text1"/>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40B93"/>
    <w:multiLevelType w:val="multilevel"/>
    <w:tmpl w:val="96022FF0"/>
    <w:lvl w:ilvl="0">
      <w:start w:val="1"/>
      <w:numFmt w:val="upperRoman"/>
      <w:lvlText w:val="%1."/>
      <w:lvlJc w:val="left"/>
      <w:pPr>
        <w:ind w:left="720" w:hanging="720"/>
      </w:pPr>
      <w:rPr>
        <w:rFonts w:hint="default"/>
      </w:rPr>
    </w:lvl>
    <w:lvl w:ilvl="1">
      <w:start w:val="7"/>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C0B43B5"/>
    <w:multiLevelType w:val="hybridMultilevel"/>
    <w:tmpl w:val="5B683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DD1D7B"/>
    <w:multiLevelType w:val="hybridMultilevel"/>
    <w:tmpl w:val="5336C3A2"/>
    <w:lvl w:ilvl="0" w:tplc="E74611D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CF65DF"/>
    <w:multiLevelType w:val="hybridMultilevel"/>
    <w:tmpl w:val="BCEE95CC"/>
    <w:lvl w:ilvl="0" w:tplc="FFFFFFFF">
      <w:start w:val="1"/>
      <w:numFmt w:val="decimal"/>
      <w:lvlText w:val="%1)"/>
      <w:lvlJc w:val="left"/>
      <w:pPr>
        <w:ind w:left="360" w:hanging="360"/>
      </w:pPr>
      <w:rPr>
        <w:rFonts w:hint="default"/>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23DB3980"/>
    <w:multiLevelType w:val="hybridMultilevel"/>
    <w:tmpl w:val="FCE0B4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3E626F"/>
    <w:multiLevelType w:val="hybridMultilevel"/>
    <w:tmpl w:val="0978BF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5D80021"/>
    <w:multiLevelType w:val="hybridMultilevel"/>
    <w:tmpl w:val="4350DE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9D8753E"/>
    <w:multiLevelType w:val="hybridMultilevel"/>
    <w:tmpl w:val="4170C6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0532265"/>
    <w:multiLevelType w:val="hybridMultilevel"/>
    <w:tmpl w:val="71E4B76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634C8C"/>
    <w:multiLevelType w:val="hybridMultilevel"/>
    <w:tmpl w:val="BCEE95CC"/>
    <w:lvl w:ilvl="0" w:tplc="3C749A94">
      <w:start w:val="1"/>
      <w:numFmt w:val="decimal"/>
      <w:lvlText w:val="%1)"/>
      <w:lvlJc w:val="left"/>
      <w:pPr>
        <w:ind w:left="360" w:hanging="360"/>
      </w:pPr>
      <w:rPr>
        <w:rFonts w:hint="default"/>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8B824F9"/>
    <w:multiLevelType w:val="hybridMultilevel"/>
    <w:tmpl w:val="4DEE18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B586B7D"/>
    <w:multiLevelType w:val="hybridMultilevel"/>
    <w:tmpl w:val="83DC040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EBC64B3"/>
    <w:multiLevelType w:val="hybridMultilevel"/>
    <w:tmpl w:val="0324C2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1CF6658"/>
    <w:multiLevelType w:val="hybridMultilevel"/>
    <w:tmpl w:val="0C42B164"/>
    <w:lvl w:ilvl="0" w:tplc="FFFFFFFF">
      <w:start w:val="1"/>
      <w:numFmt w:val="decimal"/>
      <w:lvlText w:val="%1."/>
      <w:lvlJc w:val="left"/>
      <w:pPr>
        <w:ind w:left="360" w:hanging="360"/>
      </w:pPr>
      <w:rPr>
        <w:rFonts w:hint="default"/>
        <w:b/>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42225854"/>
    <w:multiLevelType w:val="hybridMultilevel"/>
    <w:tmpl w:val="C92049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514517B"/>
    <w:multiLevelType w:val="hybridMultilevel"/>
    <w:tmpl w:val="54CA64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6F856E6"/>
    <w:multiLevelType w:val="hybridMultilevel"/>
    <w:tmpl w:val="CFD0176A"/>
    <w:lvl w:ilvl="0" w:tplc="9E64C9BE">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CF92D0D"/>
    <w:multiLevelType w:val="hybridMultilevel"/>
    <w:tmpl w:val="63A04B76"/>
    <w:lvl w:ilvl="0" w:tplc="B6E03B0A">
      <w:start w:val="2024"/>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125BD2"/>
    <w:multiLevelType w:val="hybridMultilevel"/>
    <w:tmpl w:val="9D148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637381"/>
    <w:multiLevelType w:val="hybridMultilevel"/>
    <w:tmpl w:val="39BC45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9D2FE1"/>
    <w:multiLevelType w:val="hybridMultilevel"/>
    <w:tmpl w:val="01C2C5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1E164BF"/>
    <w:multiLevelType w:val="hybridMultilevel"/>
    <w:tmpl w:val="3A94C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7DF5368"/>
    <w:multiLevelType w:val="hybridMultilevel"/>
    <w:tmpl w:val="E8801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EF42AD"/>
    <w:multiLevelType w:val="hybridMultilevel"/>
    <w:tmpl w:val="695A410E"/>
    <w:lvl w:ilvl="0" w:tplc="10141FAC">
      <w:start w:val="2024"/>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3637BFF"/>
    <w:multiLevelType w:val="hybridMultilevel"/>
    <w:tmpl w:val="768660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9865167"/>
    <w:multiLevelType w:val="hybridMultilevel"/>
    <w:tmpl w:val="920409D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A3755BA"/>
    <w:multiLevelType w:val="hybridMultilevel"/>
    <w:tmpl w:val="FACC30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341157890">
    <w:abstractNumId w:val="21"/>
  </w:num>
  <w:num w:numId="2" w16cid:durableId="165443675">
    <w:abstractNumId w:val="16"/>
  </w:num>
  <w:num w:numId="3" w16cid:durableId="1856115890">
    <w:abstractNumId w:val="7"/>
  </w:num>
  <w:num w:numId="4" w16cid:durableId="1927302017">
    <w:abstractNumId w:val="2"/>
  </w:num>
  <w:num w:numId="5" w16cid:durableId="318313449">
    <w:abstractNumId w:val="8"/>
  </w:num>
  <w:num w:numId="6" w16cid:durableId="1560969161">
    <w:abstractNumId w:val="1"/>
  </w:num>
  <w:num w:numId="7" w16cid:durableId="2129546354">
    <w:abstractNumId w:val="19"/>
  </w:num>
  <w:num w:numId="8" w16cid:durableId="1167404300">
    <w:abstractNumId w:val="18"/>
  </w:num>
  <w:num w:numId="9" w16cid:durableId="522133237">
    <w:abstractNumId w:val="22"/>
  </w:num>
  <w:num w:numId="10" w16cid:durableId="1470901713">
    <w:abstractNumId w:val="17"/>
  </w:num>
  <w:num w:numId="11" w16cid:durableId="226115421">
    <w:abstractNumId w:val="23"/>
  </w:num>
  <w:num w:numId="12" w16cid:durableId="387848864">
    <w:abstractNumId w:val="4"/>
  </w:num>
  <w:num w:numId="13" w16cid:durableId="54936209">
    <w:abstractNumId w:val="26"/>
  </w:num>
  <w:num w:numId="14" w16cid:durableId="1549563604">
    <w:abstractNumId w:val="6"/>
  </w:num>
  <w:num w:numId="15" w16cid:durableId="367413212">
    <w:abstractNumId w:val="13"/>
  </w:num>
  <w:num w:numId="16" w16cid:durableId="889993754">
    <w:abstractNumId w:val="11"/>
  </w:num>
  <w:num w:numId="17" w16cid:durableId="1453137380">
    <w:abstractNumId w:val="24"/>
  </w:num>
  <w:num w:numId="18" w16cid:durableId="1074208057">
    <w:abstractNumId w:val="20"/>
  </w:num>
  <w:num w:numId="19" w16cid:durableId="463815922">
    <w:abstractNumId w:val="14"/>
  </w:num>
  <w:num w:numId="20" w16cid:durableId="925924431">
    <w:abstractNumId w:val="15"/>
  </w:num>
  <w:num w:numId="21" w16cid:durableId="1102339615">
    <w:abstractNumId w:val="0"/>
  </w:num>
  <w:num w:numId="22" w16cid:durableId="100760223">
    <w:abstractNumId w:val="25"/>
  </w:num>
  <w:num w:numId="23" w16cid:durableId="1508405541">
    <w:abstractNumId w:val="10"/>
  </w:num>
  <w:num w:numId="24" w16cid:durableId="1360424402">
    <w:abstractNumId w:val="12"/>
  </w:num>
  <w:num w:numId="25" w16cid:durableId="795753680">
    <w:abstractNumId w:val="5"/>
  </w:num>
  <w:num w:numId="26" w16cid:durableId="637075580">
    <w:abstractNumId w:val="9"/>
  </w:num>
  <w:num w:numId="27" w16cid:durableId="205419160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7404"/>
    <w:rsid w:val="00002CA3"/>
    <w:rsid w:val="0000355A"/>
    <w:rsid w:val="00003C55"/>
    <w:rsid w:val="00003CBA"/>
    <w:rsid w:val="000054EE"/>
    <w:rsid w:val="00005B4E"/>
    <w:rsid w:val="00007116"/>
    <w:rsid w:val="000124C5"/>
    <w:rsid w:val="00012EBB"/>
    <w:rsid w:val="000146F4"/>
    <w:rsid w:val="00016A9D"/>
    <w:rsid w:val="00017617"/>
    <w:rsid w:val="00017DD9"/>
    <w:rsid w:val="00030021"/>
    <w:rsid w:val="00032AFE"/>
    <w:rsid w:val="00036FD7"/>
    <w:rsid w:val="000417F0"/>
    <w:rsid w:val="0004499F"/>
    <w:rsid w:val="00044AA2"/>
    <w:rsid w:val="000451A1"/>
    <w:rsid w:val="00046CF6"/>
    <w:rsid w:val="00047EC6"/>
    <w:rsid w:val="00047F78"/>
    <w:rsid w:val="0005483C"/>
    <w:rsid w:val="0005577C"/>
    <w:rsid w:val="000615CE"/>
    <w:rsid w:val="00064AFB"/>
    <w:rsid w:val="00075D5E"/>
    <w:rsid w:val="000773FC"/>
    <w:rsid w:val="000841CE"/>
    <w:rsid w:val="00085DDD"/>
    <w:rsid w:val="00091A71"/>
    <w:rsid w:val="000924AD"/>
    <w:rsid w:val="000936C9"/>
    <w:rsid w:val="000A37C3"/>
    <w:rsid w:val="000C36A5"/>
    <w:rsid w:val="000C3E2D"/>
    <w:rsid w:val="000D1CB7"/>
    <w:rsid w:val="000D6EE8"/>
    <w:rsid w:val="000D7F5C"/>
    <w:rsid w:val="000E0A0E"/>
    <w:rsid w:val="000E56F9"/>
    <w:rsid w:val="000E6228"/>
    <w:rsid w:val="000E6641"/>
    <w:rsid w:val="000F10F9"/>
    <w:rsid w:val="000F41C7"/>
    <w:rsid w:val="000F5AF5"/>
    <w:rsid w:val="000F5BBC"/>
    <w:rsid w:val="000F730B"/>
    <w:rsid w:val="0010043E"/>
    <w:rsid w:val="001015B7"/>
    <w:rsid w:val="00103224"/>
    <w:rsid w:val="00105E66"/>
    <w:rsid w:val="00110015"/>
    <w:rsid w:val="00113AA5"/>
    <w:rsid w:val="00116DA9"/>
    <w:rsid w:val="00122BA1"/>
    <w:rsid w:val="00125584"/>
    <w:rsid w:val="00127780"/>
    <w:rsid w:val="001364BB"/>
    <w:rsid w:val="00137232"/>
    <w:rsid w:val="0015048D"/>
    <w:rsid w:val="0015559D"/>
    <w:rsid w:val="00172680"/>
    <w:rsid w:val="001745D0"/>
    <w:rsid w:val="00177D18"/>
    <w:rsid w:val="0018201B"/>
    <w:rsid w:val="001833ED"/>
    <w:rsid w:val="001850B1"/>
    <w:rsid w:val="0018582B"/>
    <w:rsid w:val="00186C41"/>
    <w:rsid w:val="001909F0"/>
    <w:rsid w:val="00194239"/>
    <w:rsid w:val="00194A59"/>
    <w:rsid w:val="00197EC0"/>
    <w:rsid w:val="001A2088"/>
    <w:rsid w:val="001A26A5"/>
    <w:rsid w:val="001A6C38"/>
    <w:rsid w:val="001C0102"/>
    <w:rsid w:val="001C0186"/>
    <w:rsid w:val="001C37E8"/>
    <w:rsid w:val="001C5663"/>
    <w:rsid w:val="001D1E30"/>
    <w:rsid w:val="001D4826"/>
    <w:rsid w:val="001D5256"/>
    <w:rsid w:val="001E7A31"/>
    <w:rsid w:val="001E7F4E"/>
    <w:rsid w:val="001F184C"/>
    <w:rsid w:val="001F1C8E"/>
    <w:rsid w:val="00202468"/>
    <w:rsid w:val="00204209"/>
    <w:rsid w:val="002077C1"/>
    <w:rsid w:val="00207974"/>
    <w:rsid w:val="00207A44"/>
    <w:rsid w:val="00213A24"/>
    <w:rsid w:val="00214C7F"/>
    <w:rsid w:val="00217D49"/>
    <w:rsid w:val="00220E79"/>
    <w:rsid w:val="00224027"/>
    <w:rsid w:val="00231543"/>
    <w:rsid w:val="0023787F"/>
    <w:rsid w:val="00240072"/>
    <w:rsid w:val="00242BDB"/>
    <w:rsid w:val="00244B8F"/>
    <w:rsid w:val="00252B07"/>
    <w:rsid w:val="002574B3"/>
    <w:rsid w:val="0025757C"/>
    <w:rsid w:val="00257605"/>
    <w:rsid w:val="00265618"/>
    <w:rsid w:val="00270C4C"/>
    <w:rsid w:val="00274E2F"/>
    <w:rsid w:val="002758A8"/>
    <w:rsid w:val="002776BF"/>
    <w:rsid w:val="00285DB3"/>
    <w:rsid w:val="00287775"/>
    <w:rsid w:val="00290105"/>
    <w:rsid w:val="0029099E"/>
    <w:rsid w:val="002931EE"/>
    <w:rsid w:val="00294B01"/>
    <w:rsid w:val="002A0D16"/>
    <w:rsid w:val="002A4F6E"/>
    <w:rsid w:val="002A66E1"/>
    <w:rsid w:val="002B5FA5"/>
    <w:rsid w:val="002C0776"/>
    <w:rsid w:val="002C0E8B"/>
    <w:rsid w:val="002C2759"/>
    <w:rsid w:val="002C2E77"/>
    <w:rsid w:val="002C5E9D"/>
    <w:rsid w:val="002E162A"/>
    <w:rsid w:val="002E18EE"/>
    <w:rsid w:val="002E1C38"/>
    <w:rsid w:val="002E5C61"/>
    <w:rsid w:val="002E6932"/>
    <w:rsid w:val="002F262F"/>
    <w:rsid w:val="003018EF"/>
    <w:rsid w:val="00302067"/>
    <w:rsid w:val="003102D2"/>
    <w:rsid w:val="00314BEA"/>
    <w:rsid w:val="00321541"/>
    <w:rsid w:val="0032528A"/>
    <w:rsid w:val="00332E67"/>
    <w:rsid w:val="00341373"/>
    <w:rsid w:val="00344C9D"/>
    <w:rsid w:val="00345425"/>
    <w:rsid w:val="00345CC1"/>
    <w:rsid w:val="00356417"/>
    <w:rsid w:val="00356738"/>
    <w:rsid w:val="003661AB"/>
    <w:rsid w:val="00366223"/>
    <w:rsid w:val="00367806"/>
    <w:rsid w:val="003732A9"/>
    <w:rsid w:val="00373AD3"/>
    <w:rsid w:val="00380C51"/>
    <w:rsid w:val="00382554"/>
    <w:rsid w:val="00384C56"/>
    <w:rsid w:val="00390C60"/>
    <w:rsid w:val="0039316C"/>
    <w:rsid w:val="00393638"/>
    <w:rsid w:val="00394345"/>
    <w:rsid w:val="00396B0C"/>
    <w:rsid w:val="003978FD"/>
    <w:rsid w:val="003A0AC3"/>
    <w:rsid w:val="003A1C3C"/>
    <w:rsid w:val="003A4CDD"/>
    <w:rsid w:val="003A534D"/>
    <w:rsid w:val="003A776C"/>
    <w:rsid w:val="003B1325"/>
    <w:rsid w:val="003B14FE"/>
    <w:rsid w:val="003B3D25"/>
    <w:rsid w:val="003C4DDD"/>
    <w:rsid w:val="003E0440"/>
    <w:rsid w:val="003E1725"/>
    <w:rsid w:val="003E67FF"/>
    <w:rsid w:val="003E7ABC"/>
    <w:rsid w:val="003F0823"/>
    <w:rsid w:val="003F7D23"/>
    <w:rsid w:val="00402FBB"/>
    <w:rsid w:val="00405882"/>
    <w:rsid w:val="00413248"/>
    <w:rsid w:val="00413C51"/>
    <w:rsid w:val="00414C9D"/>
    <w:rsid w:val="00415755"/>
    <w:rsid w:val="00415E0A"/>
    <w:rsid w:val="004166F7"/>
    <w:rsid w:val="00422255"/>
    <w:rsid w:val="004249D9"/>
    <w:rsid w:val="00432829"/>
    <w:rsid w:val="00441ABB"/>
    <w:rsid w:val="00443790"/>
    <w:rsid w:val="00446D6A"/>
    <w:rsid w:val="0045287D"/>
    <w:rsid w:val="0046327C"/>
    <w:rsid w:val="00467233"/>
    <w:rsid w:val="004674F9"/>
    <w:rsid w:val="00473681"/>
    <w:rsid w:val="00474113"/>
    <w:rsid w:val="004757ED"/>
    <w:rsid w:val="004832AE"/>
    <w:rsid w:val="00484073"/>
    <w:rsid w:val="0048551E"/>
    <w:rsid w:val="00486B63"/>
    <w:rsid w:val="00487672"/>
    <w:rsid w:val="004878D3"/>
    <w:rsid w:val="004A7170"/>
    <w:rsid w:val="004C16D7"/>
    <w:rsid w:val="004C1A8C"/>
    <w:rsid w:val="004C38C4"/>
    <w:rsid w:val="004C66E9"/>
    <w:rsid w:val="004D4F81"/>
    <w:rsid w:val="004D680E"/>
    <w:rsid w:val="004E0CCF"/>
    <w:rsid w:val="004E19F1"/>
    <w:rsid w:val="004E3010"/>
    <w:rsid w:val="004E792B"/>
    <w:rsid w:val="004F2E39"/>
    <w:rsid w:val="004F326C"/>
    <w:rsid w:val="004F7D7F"/>
    <w:rsid w:val="00502A57"/>
    <w:rsid w:val="0050639F"/>
    <w:rsid w:val="00510D48"/>
    <w:rsid w:val="005123B0"/>
    <w:rsid w:val="005125EF"/>
    <w:rsid w:val="00514AA1"/>
    <w:rsid w:val="005154BA"/>
    <w:rsid w:val="00522A9B"/>
    <w:rsid w:val="0052342E"/>
    <w:rsid w:val="005234EC"/>
    <w:rsid w:val="005310F3"/>
    <w:rsid w:val="00533025"/>
    <w:rsid w:val="0053387C"/>
    <w:rsid w:val="00534E82"/>
    <w:rsid w:val="00545CFA"/>
    <w:rsid w:val="00551372"/>
    <w:rsid w:val="005514FA"/>
    <w:rsid w:val="0055344D"/>
    <w:rsid w:val="0055632D"/>
    <w:rsid w:val="00562562"/>
    <w:rsid w:val="00563B7A"/>
    <w:rsid w:val="00566A74"/>
    <w:rsid w:val="005732C2"/>
    <w:rsid w:val="005741C7"/>
    <w:rsid w:val="00576A55"/>
    <w:rsid w:val="00580AC2"/>
    <w:rsid w:val="00584269"/>
    <w:rsid w:val="0058537B"/>
    <w:rsid w:val="00585430"/>
    <w:rsid w:val="005913DC"/>
    <w:rsid w:val="00597D4B"/>
    <w:rsid w:val="005A38CE"/>
    <w:rsid w:val="005B116D"/>
    <w:rsid w:val="005B280F"/>
    <w:rsid w:val="005B41A3"/>
    <w:rsid w:val="005B5F9F"/>
    <w:rsid w:val="005C0026"/>
    <w:rsid w:val="005C10B3"/>
    <w:rsid w:val="005C231D"/>
    <w:rsid w:val="005C5E64"/>
    <w:rsid w:val="005C652C"/>
    <w:rsid w:val="005D0E27"/>
    <w:rsid w:val="005D1353"/>
    <w:rsid w:val="005D4E9B"/>
    <w:rsid w:val="005D5E8B"/>
    <w:rsid w:val="005D6D9C"/>
    <w:rsid w:val="005E199E"/>
    <w:rsid w:val="005E20A4"/>
    <w:rsid w:val="005E37C8"/>
    <w:rsid w:val="005F01A5"/>
    <w:rsid w:val="005F1614"/>
    <w:rsid w:val="005F2389"/>
    <w:rsid w:val="005F3BCD"/>
    <w:rsid w:val="005F64CD"/>
    <w:rsid w:val="005F7E10"/>
    <w:rsid w:val="0060196E"/>
    <w:rsid w:val="00602361"/>
    <w:rsid w:val="00603F8F"/>
    <w:rsid w:val="006066F2"/>
    <w:rsid w:val="00606E39"/>
    <w:rsid w:val="00607A7A"/>
    <w:rsid w:val="006149A4"/>
    <w:rsid w:val="00615306"/>
    <w:rsid w:val="00615E4C"/>
    <w:rsid w:val="00615EA7"/>
    <w:rsid w:val="006213E3"/>
    <w:rsid w:val="006246A0"/>
    <w:rsid w:val="00625B05"/>
    <w:rsid w:val="00630E0A"/>
    <w:rsid w:val="0063700A"/>
    <w:rsid w:val="0064027A"/>
    <w:rsid w:val="006437D7"/>
    <w:rsid w:val="00651B0B"/>
    <w:rsid w:val="006521CC"/>
    <w:rsid w:val="00652E26"/>
    <w:rsid w:val="00657224"/>
    <w:rsid w:val="00664593"/>
    <w:rsid w:val="00665123"/>
    <w:rsid w:val="0066644C"/>
    <w:rsid w:val="0067091A"/>
    <w:rsid w:val="0067574B"/>
    <w:rsid w:val="0067587C"/>
    <w:rsid w:val="00690F62"/>
    <w:rsid w:val="0069330B"/>
    <w:rsid w:val="006A4D0C"/>
    <w:rsid w:val="006B2982"/>
    <w:rsid w:val="006B2B3C"/>
    <w:rsid w:val="006B3B74"/>
    <w:rsid w:val="006B55AA"/>
    <w:rsid w:val="006C05E0"/>
    <w:rsid w:val="006C1571"/>
    <w:rsid w:val="006C361E"/>
    <w:rsid w:val="006C67E0"/>
    <w:rsid w:val="006D0C09"/>
    <w:rsid w:val="006D31EA"/>
    <w:rsid w:val="006D7B9E"/>
    <w:rsid w:val="006E2D17"/>
    <w:rsid w:val="006E40E8"/>
    <w:rsid w:val="006E4D16"/>
    <w:rsid w:val="006F1548"/>
    <w:rsid w:val="006F39D9"/>
    <w:rsid w:val="006F6A92"/>
    <w:rsid w:val="006F78FE"/>
    <w:rsid w:val="0070417B"/>
    <w:rsid w:val="0070438A"/>
    <w:rsid w:val="0071448E"/>
    <w:rsid w:val="007155A5"/>
    <w:rsid w:val="007160DF"/>
    <w:rsid w:val="007224F8"/>
    <w:rsid w:val="00742530"/>
    <w:rsid w:val="007430F3"/>
    <w:rsid w:val="00745183"/>
    <w:rsid w:val="007457A0"/>
    <w:rsid w:val="007563C9"/>
    <w:rsid w:val="007615EA"/>
    <w:rsid w:val="00762FBF"/>
    <w:rsid w:val="0076303E"/>
    <w:rsid w:val="007658A8"/>
    <w:rsid w:val="00765E8B"/>
    <w:rsid w:val="00767404"/>
    <w:rsid w:val="00772F99"/>
    <w:rsid w:val="0077638F"/>
    <w:rsid w:val="0078517E"/>
    <w:rsid w:val="00786F7F"/>
    <w:rsid w:val="00791441"/>
    <w:rsid w:val="0079436D"/>
    <w:rsid w:val="00795AD5"/>
    <w:rsid w:val="0079608F"/>
    <w:rsid w:val="007A18FC"/>
    <w:rsid w:val="007A2A95"/>
    <w:rsid w:val="007A45F3"/>
    <w:rsid w:val="007A68D0"/>
    <w:rsid w:val="007B311E"/>
    <w:rsid w:val="007B4D10"/>
    <w:rsid w:val="007B4F6A"/>
    <w:rsid w:val="007B598C"/>
    <w:rsid w:val="007D1B8A"/>
    <w:rsid w:val="007D2F11"/>
    <w:rsid w:val="007E2EF0"/>
    <w:rsid w:val="007E47A3"/>
    <w:rsid w:val="007E4B7E"/>
    <w:rsid w:val="007E7B71"/>
    <w:rsid w:val="0080125E"/>
    <w:rsid w:val="008053C0"/>
    <w:rsid w:val="008057E1"/>
    <w:rsid w:val="00806829"/>
    <w:rsid w:val="00810634"/>
    <w:rsid w:val="0081150B"/>
    <w:rsid w:val="00812266"/>
    <w:rsid w:val="0081613E"/>
    <w:rsid w:val="00817C4A"/>
    <w:rsid w:val="00821411"/>
    <w:rsid w:val="0083040E"/>
    <w:rsid w:val="00832A8D"/>
    <w:rsid w:val="00845D7B"/>
    <w:rsid w:val="00851764"/>
    <w:rsid w:val="008615DB"/>
    <w:rsid w:val="00863443"/>
    <w:rsid w:val="00864466"/>
    <w:rsid w:val="00865B51"/>
    <w:rsid w:val="008668F4"/>
    <w:rsid w:val="00867E85"/>
    <w:rsid w:val="0087128C"/>
    <w:rsid w:val="008726A0"/>
    <w:rsid w:val="00872735"/>
    <w:rsid w:val="008745EF"/>
    <w:rsid w:val="00876048"/>
    <w:rsid w:val="00882FE9"/>
    <w:rsid w:val="00885852"/>
    <w:rsid w:val="00890B75"/>
    <w:rsid w:val="00893F7A"/>
    <w:rsid w:val="00894892"/>
    <w:rsid w:val="0089758C"/>
    <w:rsid w:val="008A1093"/>
    <w:rsid w:val="008A13CE"/>
    <w:rsid w:val="008A21DF"/>
    <w:rsid w:val="008A4708"/>
    <w:rsid w:val="008A6085"/>
    <w:rsid w:val="008A6B12"/>
    <w:rsid w:val="008A7247"/>
    <w:rsid w:val="008B05BE"/>
    <w:rsid w:val="008B1EC3"/>
    <w:rsid w:val="008B4804"/>
    <w:rsid w:val="008B521C"/>
    <w:rsid w:val="008B5FEE"/>
    <w:rsid w:val="008B76A4"/>
    <w:rsid w:val="008C6F28"/>
    <w:rsid w:val="008D1445"/>
    <w:rsid w:val="008D713D"/>
    <w:rsid w:val="008E0628"/>
    <w:rsid w:val="008E3E96"/>
    <w:rsid w:val="008E574A"/>
    <w:rsid w:val="008E6B45"/>
    <w:rsid w:val="008F6A74"/>
    <w:rsid w:val="008F74B3"/>
    <w:rsid w:val="009066D0"/>
    <w:rsid w:val="00911166"/>
    <w:rsid w:val="00913F56"/>
    <w:rsid w:val="0091460C"/>
    <w:rsid w:val="0091741A"/>
    <w:rsid w:val="0092451F"/>
    <w:rsid w:val="00933B47"/>
    <w:rsid w:val="00936D45"/>
    <w:rsid w:val="00943134"/>
    <w:rsid w:val="00943878"/>
    <w:rsid w:val="00951365"/>
    <w:rsid w:val="00951B76"/>
    <w:rsid w:val="00953BAF"/>
    <w:rsid w:val="0096088D"/>
    <w:rsid w:val="0096632D"/>
    <w:rsid w:val="0097072B"/>
    <w:rsid w:val="00977A80"/>
    <w:rsid w:val="00983091"/>
    <w:rsid w:val="0098320F"/>
    <w:rsid w:val="009859A5"/>
    <w:rsid w:val="00986219"/>
    <w:rsid w:val="00990C8B"/>
    <w:rsid w:val="009912CE"/>
    <w:rsid w:val="0099363E"/>
    <w:rsid w:val="009939BD"/>
    <w:rsid w:val="00997290"/>
    <w:rsid w:val="00997362"/>
    <w:rsid w:val="009A14F0"/>
    <w:rsid w:val="009A1EEF"/>
    <w:rsid w:val="009A2246"/>
    <w:rsid w:val="009A26A5"/>
    <w:rsid w:val="009A7FE2"/>
    <w:rsid w:val="009B5BA4"/>
    <w:rsid w:val="009C136D"/>
    <w:rsid w:val="009C1F66"/>
    <w:rsid w:val="009C626A"/>
    <w:rsid w:val="009C7FA6"/>
    <w:rsid w:val="009D14BA"/>
    <w:rsid w:val="009D1DB2"/>
    <w:rsid w:val="009D4978"/>
    <w:rsid w:val="009E24B3"/>
    <w:rsid w:val="009E45BE"/>
    <w:rsid w:val="009E7E25"/>
    <w:rsid w:val="009F12E6"/>
    <w:rsid w:val="009F7000"/>
    <w:rsid w:val="00A011D6"/>
    <w:rsid w:val="00A01C87"/>
    <w:rsid w:val="00A02035"/>
    <w:rsid w:val="00A06137"/>
    <w:rsid w:val="00A1518C"/>
    <w:rsid w:val="00A15D51"/>
    <w:rsid w:val="00A161DD"/>
    <w:rsid w:val="00A23A75"/>
    <w:rsid w:val="00A25379"/>
    <w:rsid w:val="00A260C4"/>
    <w:rsid w:val="00A30838"/>
    <w:rsid w:val="00A34212"/>
    <w:rsid w:val="00A34ECC"/>
    <w:rsid w:val="00A35CF9"/>
    <w:rsid w:val="00A37C70"/>
    <w:rsid w:val="00A41A2A"/>
    <w:rsid w:val="00A453A4"/>
    <w:rsid w:val="00A46159"/>
    <w:rsid w:val="00A57628"/>
    <w:rsid w:val="00A678ED"/>
    <w:rsid w:val="00A718F5"/>
    <w:rsid w:val="00A72A38"/>
    <w:rsid w:val="00A77C00"/>
    <w:rsid w:val="00A835CE"/>
    <w:rsid w:val="00A839C0"/>
    <w:rsid w:val="00A92779"/>
    <w:rsid w:val="00A928F4"/>
    <w:rsid w:val="00A93E70"/>
    <w:rsid w:val="00A95D5D"/>
    <w:rsid w:val="00AA71B1"/>
    <w:rsid w:val="00AB0DD5"/>
    <w:rsid w:val="00AB11B1"/>
    <w:rsid w:val="00AB4B7E"/>
    <w:rsid w:val="00AB60B8"/>
    <w:rsid w:val="00AC557B"/>
    <w:rsid w:val="00AC55BB"/>
    <w:rsid w:val="00AC56A7"/>
    <w:rsid w:val="00AD6B97"/>
    <w:rsid w:val="00AE1183"/>
    <w:rsid w:val="00AE2BC1"/>
    <w:rsid w:val="00AE2CC3"/>
    <w:rsid w:val="00AE5228"/>
    <w:rsid w:val="00AE52F0"/>
    <w:rsid w:val="00AE5E62"/>
    <w:rsid w:val="00AF4C03"/>
    <w:rsid w:val="00AF6A4E"/>
    <w:rsid w:val="00B000D9"/>
    <w:rsid w:val="00B02713"/>
    <w:rsid w:val="00B0448D"/>
    <w:rsid w:val="00B07BBF"/>
    <w:rsid w:val="00B13FCF"/>
    <w:rsid w:val="00B14AC7"/>
    <w:rsid w:val="00B151DF"/>
    <w:rsid w:val="00B21F98"/>
    <w:rsid w:val="00B22F94"/>
    <w:rsid w:val="00B329FF"/>
    <w:rsid w:val="00B403F8"/>
    <w:rsid w:val="00B4128D"/>
    <w:rsid w:val="00B429A5"/>
    <w:rsid w:val="00B436FC"/>
    <w:rsid w:val="00B4440A"/>
    <w:rsid w:val="00B4600B"/>
    <w:rsid w:val="00B56C06"/>
    <w:rsid w:val="00B60403"/>
    <w:rsid w:val="00B672A9"/>
    <w:rsid w:val="00B70E4A"/>
    <w:rsid w:val="00B7144A"/>
    <w:rsid w:val="00B7212F"/>
    <w:rsid w:val="00B73E0B"/>
    <w:rsid w:val="00B74F30"/>
    <w:rsid w:val="00B77332"/>
    <w:rsid w:val="00B8039E"/>
    <w:rsid w:val="00B91D76"/>
    <w:rsid w:val="00B97C5D"/>
    <w:rsid w:val="00BA3B70"/>
    <w:rsid w:val="00BA4BA7"/>
    <w:rsid w:val="00BB593E"/>
    <w:rsid w:val="00BB6AA5"/>
    <w:rsid w:val="00BC2E6C"/>
    <w:rsid w:val="00BC5DEE"/>
    <w:rsid w:val="00BD293E"/>
    <w:rsid w:val="00BD4428"/>
    <w:rsid w:val="00BD7DB4"/>
    <w:rsid w:val="00BE02D7"/>
    <w:rsid w:val="00BE205D"/>
    <w:rsid w:val="00BE28FA"/>
    <w:rsid w:val="00BE3758"/>
    <w:rsid w:val="00BE58E9"/>
    <w:rsid w:val="00BE72E9"/>
    <w:rsid w:val="00BF07EC"/>
    <w:rsid w:val="00BF122B"/>
    <w:rsid w:val="00BF13F8"/>
    <w:rsid w:val="00BF1A0F"/>
    <w:rsid w:val="00BF5263"/>
    <w:rsid w:val="00C00158"/>
    <w:rsid w:val="00C115D2"/>
    <w:rsid w:val="00C252C8"/>
    <w:rsid w:val="00C25B7D"/>
    <w:rsid w:val="00C26F62"/>
    <w:rsid w:val="00C43964"/>
    <w:rsid w:val="00C45591"/>
    <w:rsid w:val="00C465DF"/>
    <w:rsid w:val="00C53EE8"/>
    <w:rsid w:val="00C540C5"/>
    <w:rsid w:val="00C57C7A"/>
    <w:rsid w:val="00C64D42"/>
    <w:rsid w:val="00C72D03"/>
    <w:rsid w:val="00C81A70"/>
    <w:rsid w:val="00CA459F"/>
    <w:rsid w:val="00CA6FE5"/>
    <w:rsid w:val="00CB1876"/>
    <w:rsid w:val="00CB33DF"/>
    <w:rsid w:val="00CB4B41"/>
    <w:rsid w:val="00CB5031"/>
    <w:rsid w:val="00CB5651"/>
    <w:rsid w:val="00CB5C15"/>
    <w:rsid w:val="00CB796A"/>
    <w:rsid w:val="00CC3E05"/>
    <w:rsid w:val="00CD2731"/>
    <w:rsid w:val="00CD3D66"/>
    <w:rsid w:val="00CE2D9B"/>
    <w:rsid w:val="00CE6760"/>
    <w:rsid w:val="00CE6E5C"/>
    <w:rsid w:val="00CF3A7A"/>
    <w:rsid w:val="00CF6FEB"/>
    <w:rsid w:val="00CF77EE"/>
    <w:rsid w:val="00D00992"/>
    <w:rsid w:val="00D03486"/>
    <w:rsid w:val="00D041EA"/>
    <w:rsid w:val="00D05539"/>
    <w:rsid w:val="00D07D3B"/>
    <w:rsid w:val="00D1535C"/>
    <w:rsid w:val="00D17A2B"/>
    <w:rsid w:val="00D222C7"/>
    <w:rsid w:val="00D23407"/>
    <w:rsid w:val="00D24C10"/>
    <w:rsid w:val="00D25BE3"/>
    <w:rsid w:val="00D26A7B"/>
    <w:rsid w:val="00D31077"/>
    <w:rsid w:val="00D33786"/>
    <w:rsid w:val="00D33DE3"/>
    <w:rsid w:val="00D37819"/>
    <w:rsid w:val="00D37A36"/>
    <w:rsid w:val="00D435C1"/>
    <w:rsid w:val="00D47888"/>
    <w:rsid w:val="00D51C58"/>
    <w:rsid w:val="00D54EAC"/>
    <w:rsid w:val="00D55D91"/>
    <w:rsid w:val="00D63696"/>
    <w:rsid w:val="00D63BD7"/>
    <w:rsid w:val="00D65DE8"/>
    <w:rsid w:val="00D729C5"/>
    <w:rsid w:val="00D7349C"/>
    <w:rsid w:val="00D7363A"/>
    <w:rsid w:val="00D76303"/>
    <w:rsid w:val="00D768AE"/>
    <w:rsid w:val="00D76E8D"/>
    <w:rsid w:val="00D82DDE"/>
    <w:rsid w:val="00D86169"/>
    <w:rsid w:val="00D8735A"/>
    <w:rsid w:val="00D927A9"/>
    <w:rsid w:val="00D950B6"/>
    <w:rsid w:val="00D972E8"/>
    <w:rsid w:val="00DA10CE"/>
    <w:rsid w:val="00DA331D"/>
    <w:rsid w:val="00DA478F"/>
    <w:rsid w:val="00DA6544"/>
    <w:rsid w:val="00DA7EF6"/>
    <w:rsid w:val="00DB1C9A"/>
    <w:rsid w:val="00DB72B5"/>
    <w:rsid w:val="00DC0685"/>
    <w:rsid w:val="00DD31A0"/>
    <w:rsid w:val="00DD474B"/>
    <w:rsid w:val="00DE26EC"/>
    <w:rsid w:val="00DE40BA"/>
    <w:rsid w:val="00DE5831"/>
    <w:rsid w:val="00DF0878"/>
    <w:rsid w:val="00DF0BB4"/>
    <w:rsid w:val="00DF1309"/>
    <w:rsid w:val="00DF60E8"/>
    <w:rsid w:val="00E03DB7"/>
    <w:rsid w:val="00E16EA1"/>
    <w:rsid w:val="00E21D85"/>
    <w:rsid w:val="00E33AC5"/>
    <w:rsid w:val="00E40550"/>
    <w:rsid w:val="00E51A98"/>
    <w:rsid w:val="00E61F4E"/>
    <w:rsid w:val="00E62E83"/>
    <w:rsid w:val="00E70573"/>
    <w:rsid w:val="00E7609B"/>
    <w:rsid w:val="00E81F73"/>
    <w:rsid w:val="00E85159"/>
    <w:rsid w:val="00E86AEE"/>
    <w:rsid w:val="00E86B71"/>
    <w:rsid w:val="00E90979"/>
    <w:rsid w:val="00E9193B"/>
    <w:rsid w:val="00E97335"/>
    <w:rsid w:val="00EC4103"/>
    <w:rsid w:val="00ED7141"/>
    <w:rsid w:val="00EE0BAD"/>
    <w:rsid w:val="00EE2101"/>
    <w:rsid w:val="00EE2639"/>
    <w:rsid w:val="00EE3F7F"/>
    <w:rsid w:val="00EE6264"/>
    <w:rsid w:val="00EF03A9"/>
    <w:rsid w:val="00EF123B"/>
    <w:rsid w:val="00EF3EE0"/>
    <w:rsid w:val="00EF613C"/>
    <w:rsid w:val="00F0005D"/>
    <w:rsid w:val="00F04678"/>
    <w:rsid w:val="00F0615A"/>
    <w:rsid w:val="00F12963"/>
    <w:rsid w:val="00F16EE1"/>
    <w:rsid w:val="00F222A5"/>
    <w:rsid w:val="00F22352"/>
    <w:rsid w:val="00F25EAE"/>
    <w:rsid w:val="00F26DCD"/>
    <w:rsid w:val="00F3083A"/>
    <w:rsid w:val="00F34E63"/>
    <w:rsid w:val="00F35870"/>
    <w:rsid w:val="00F37AA8"/>
    <w:rsid w:val="00F4340E"/>
    <w:rsid w:val="00F465DE"/>
    <w:rsid w:val="00F53305"/>
    <w:rsid w:val="00F564F6"/>
    <w:rsid w:val="00F66675"/>
    <w:rsid w:val="00F7169E"/>
    <w:rsid w:val="00F75790"/>
    <w:rsid w:val="00F779E2"/>
    <w:rsid w:val="00F8018B"/>
    <w:rsid w:val="00F83199"/>
    <w:rsid w:val="00F9043D"/>
    <w:rsid w:val="00FA2587"/>
    <w:rsid w:val="00FA541A"/>
    <w:rsid w:val="00FA743B"/>
    <w:rsid w:val="00FA7E7D"/>
    <w:rsid w:val="00FB23EF"/>
    <w:rsid w:val="00FB2D6C"/>
    <w:rsid w:val="00FC09AF"/>
    <w:rsid w:val="00FC0EDB"/>
    <w:rsid w:val="00FC183C"/>
    <w:rsid w:val="00FC40A7"/>
    <w:rsid w:val="00FC4F5B"/>
    <w:rsid w:val="00FC788E"/>
    <w:rsid w:val="00FD308F"/>
    <w:rsid w:val="00FD6181"/>
    <w:rsid w:val="00FE09A4"/>
    <w:rsid w:val="00FE408E"/>
    <w:rsid w:val="00FE4120"/>
    <w:rsid w:val="00FE41BC"/>
    <w:rsid w:val="00FF179C"/>
    <w:rsid w:val="00FF31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B63303"/>
  <w15:chartTrackingRefBased/>
  <w15:docId w15:val="{B058FA86-0F57-4F75-B553-BD111858A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heme="minorBidi"/>
        <w:kern w:val="2"/>
        <w:sz w:val="22"/>
        <w:szCs w:val="2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47EC6"/>
    <w:pPr>
      <w:keepNext/>
      <w:keepLines/>
      <w:outlineLvl w:val="0"/>
    </w:pPr>
    <w:rPr>
      <w:rFonts w:asciiTheme="minorHAnsi" w:eastAsiaTheme="majorEastAsia" w:hAnsiTheme="minorHAnsi" w:cstheme="minorHAnsi"/>
      <w:b/>
      <w:bCs/>
      <w:color w:val="0070C0"/>
      <w:sz w:val="28"/>
      <w:szCs w:val="28"/>
    </w:rPr>
  </w:style>
  <w:style w:type="paragraph" w:styleId="Heading2">
    <w:name w:val="heading 2"/>
    <w:basedOn w:val="Normal"/>
    <w:next w:val="Normal"/>
    <w:link w:val="Heading2Char"/>
    <w:uiPriority w:val="9"/>
    <w:unhideWhenUsed/>
    <w:qFormat/>
    <w:rsid w:val="00615E4C"/>
    <w:pPr>
      <w:keepNext/>
      <w:keepLines/>
      <w:outlineLvl w:val="1"/>
    </w:pPr>
    <w:rPr>
      <w:rFonts w:asciiTheme="minorHAnsi" w:eastAsiaTheme="majorEastAsia" w:hAnsiTheme="minorHAnsi" w:cstheme="minorHAnsi"/>
      <w:b/>
      <w:bCs/>
      <w:color w:val="0070C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rsid w:val="00A678ED"/>
    <w:rPr>
      <w:rFonts w:ascii="Calibri" w:hAnsi="Calibri"/>
      <w:sz w:val="16"/>
    </w:rPr>
  </w:style>
  <w:style w:type="paragraph" w:styleId="Header">
    <w:name w:val="header"/>
    <w:basedOn w:val="Normal"/>
    <w:link w:val="HeaderChar"/>
    <w:uiPriority w:val="99"/>
    <w:unhideWhenUsed/>
    <w:rsid w:val="00767404"/>
    <w:pPr>
      <w:tabs>
        <w:tab w:val="center" w:pos="4680"/>
        <w:tab w:val="right" w:pos="9360"/>
      </w:tabs>
    </w:pPr>
  </w:style>
  <w:style w:type="character" w:customStyle="1" w:styleId="HeaderChar">
    <w:name w:val="Header Char"/>
    <w:basedOn w:val="DefaultParagraphFont"/>
    <w:link w:val="Header"/>
    <w:uiPriority w:val="99"/>
    <w:rsid w:val="00767404"/>
  </w:style>
  <w:style w:type="paragraph" w:styleId="Footer">
    <w:name w:val="footer"/>
    <w:basedOn w:val="Normal"/>
    <w:link w:val="FooterChar"/>
    <w:uiPriority w:val="99"/>
    <w:unhideWhenUsed/>
    <w:rsid w:val="00767404"/>
    <w:pPr>
      <w:tabs>
        <w:tab w:val="center" w:pos="4680"/>
        <w:tab w:val="right" w:pos="9360"/>
      </w:tabs>
    </w:pPr>
  </w:style>
  <w:style w:type="character" w:customStyle="1" w:styleId="FooterChar">
    <w:name w:val="Footer Char"/>
    <w:basedOn w:val="DefaultParagraphFont"/>
    <w:link w:val="Footer"/>
    <w:uiPriority w:val="99"/>
    <w:rsid w:val="00767404"/>
  </w:style>
  <w:style w:type="character" w:customStyle="1" w:styleId="Heading1Char">
    <w:name w:val="Heading 1 Char"/>
    <w:basedOn w:val="DefaultParagraphFont"/>
    <w:link w:val="Heading1"/>
    <w:uiPriority w:val="9"/>
    <w:rsid w:val="00047EC6"/>
    <w:rPr>
      <w:rFonts w:asciiTheme="minorHAnsi" w:eastAsiaTheme="majorEastAsia" w:hAnsiTheme="minorHAnsi" w:cstheme="minorHAnsi"/>
      <w:b/>
      <w:bCs/>
      <w:color w:val="0070C0"/>
      <w:sz w:val="28"/>
      <w:szCs w:val="28"/>
    </w:rPr>
  </w:style>
  <w:style w:type="character" w:customStyle="1" w:styleId="Heading2Char">
    <w:name w:val="Heading 2 Char"/>
    <w:basedOn w:val="DefaultParagraphFont"/>
    <w:link w:val="Heading2"/>
    <w:uiPriority w:val="9"/>
    <w:rsid w:val="00615E4C"/>
    <w:rPr>
      <w:rFonts w:asciiTheme="minorHAnsi" w:eastAsiaTheme="majorEastAsia" w:hAnsiTheme="minorHAnsi" w:cstheme="minorHAnsi"/>
      <w:b/>
      <w:bCs/>
      <w:color w:val="0070C0"/>
      <w:sz w:val="28"/>
      <w:szCs w:val="28"/>
    </w:rPr>
  </w:style>
  <w:style w:type="paragraph" w:styleId="NoSpacing">
    <w:name w:val="No Spacing"/>
    <w:link w:val="NoSpacingChar"/>
    <w:uiPriority w:val="1"/>
    <w:qFormat/>
    <w:rsid w:val="00F37AA8"/>
  </w:style>
  <w:style w:type="table" w:customStyle="1" w:styleId="TableGrid6">
    <w:name w:val="Table Grid6"/>
    <w:basedOn w:val="TableNormal"/>
    <w:next w:val="TableGrid"/>
    <w:uiPriority w:val="59"/>
    <w:rsid w:val="002E18EE"/>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2E18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207974"/>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96632D"/>
    <w:rPr>
      <w:rFonts w:asciiTheme="minorHAnsi" w:hAnsiTheme="minorHAns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668F4"/>
    <w:pPr>
      <w:ind w:left="720"/>
      <w:contextualSpacing/>
    </w:pPr>
  </w:style>
  <w:style w:type="character" w:styleId="Hyperlink">
    <w:name w:val="Hyperlink"/>
    <w:basedOn w:val="DefaultParagraphFont"/>
    <w:uiPriority w:val="99"/>
    <w:unhideWhenUsed/>
    <w:rsid w:val="00257605"/>
    <w:rPr>
      <w:color w:val="0000FF"/>
      <w:u w:val="single"/>
    </w:rPr>
  </w:style>
  <w:style w:type="paragraph" w:customStyle="1" w:styleId="contentpasted2">
    <w:name w:val="contentpasted2"/>
    <w:basedOn w:val="Normal"/>
    <w:rsid w:val="00257605"/>
    <w:pPr>
      <w:spacing w:before="100" w:beforeAutospacing="1" w:after="100" w:afterAutospacing="1"/>
    </w:pPr>
    <w:rPr>
      <w:rFonts w:ascii="Times New Roman" w:eastAsia="Times New Roman" w:hAnsi="Times New Roman" w:cs="Times New Roman"/>
      <w:kern w:val="0"/>
      <w:sz w:val="24"/>
      <w:szCs w:val="24"/>
      <w14:ligatures w14:val="none"/>
    </w:rPr>
  </w:style>
  <w:style w:type="character" w:styleId="CommentReference">
    <w:name w:val="annotation reference"/>
    <w:basedOn w:val="DefaultParagraphFont"/>
    <w:uiPriority w:val="99"/>
    <w:semiHidden/>
    <w:unhideWhenUsed/>
    <w:rsid w:val="00177D18"/>
    <w:rPr>
      <w:sz w:val="16"/>
      <w:szCs w:val="16"/>
    </w:rPr>
  </w:style>
  <w:style w:type="paragraph" w:styleId="CommentText">
    <w:name w:val="annotation text"/>
    <w:basedOn w:val="Normal"/>
    <w:link w:val="CommentTextChar"/>
    <w:uiPriority w:val="99"/>
    <w:unhideWhenUsed/>
    <w:rsid w:val="00177D18"/>
    <w:rPr>
      <w:sz w:val="20"/>
      <w:szCs w:val="20"/>
    </w:rPr>
  </w:style>
  <w:style w:type="character" w:customStyle="1" w:styleId="CommentTextChar">
    <w:name w:val="Comment Text Char"/>
    <w:basedOn w:val="DefaultParagraphFont"/>
    <w:link w:val="CommentText"/>
    <w:uiPriority w:val="99"/>
    <w:rsid w:val="00177D18"/>
    <w:rPr>
      <w:sz w:val="20"/>
      <w:szCs w:val="20"/>
    </w:rPr>
  </w:style>
  <w:style w:type="paragraph" w:styleId="CommentSubject">
    <w:name w:val="annotation subject"/>
    <w:basedOn w:val="CommentText"/>
    <w:next w:val="CommentText"/>
    <w:link w:val="CommentSubjectChar"/>
    <w:uiPriority w:val="99"/>
    <w:semiHidden/>
    <w:unhideWhenUsed/>
    <w:rsid w:val="00177D18"/>
    <w:rPr>
      <w:b/>
      <w:bCs/>
    </w:rPr>
  </w:style>
  <w:style w:type="character" w:customStyle="1" w:styleId="CommentSubjectChar">
    <w:name w:val="Comment Subject Char"/>
    <w:basedOn w:val="CommentTextChar"/>
    <w:link w:val="CommentSubject"/>
    <w:uiPriority w:val="99"/>
    <w:semiHidden/>
    <w:rsid w:val="00177D18"/>
    <w:rPr>
      <w:b/>
      <w:bCs/>
      <w:sz w:val="20"/>
      <w:szCs w:val="20"/>
    </w:rPr>
  </w:style>
  <w:style w:type="paragraph" w:customStyle="1" w:styleId="Default">
    <w:name w:val="Default"/>
    <w:rsid w:val="007B4D10"/>
    <w:pPr>
      <w:autoSpaceDE w:val="0"/>
      <w:autoSpaceDN w:val="0"/>
      <w:adjustRightInd w:val="0"/>
    </w:pPr>
    <w:rPr>
      <w:rFonts w:cs="Calibri"/>
      <w:color w:val="000000"/>
      <w:kern w:val="0"/>
      <w:sz w:val="24"/>
      <w:szCs w:val="24"/>
      <w14:ligatures w14:val="none"/>
    </w:rPr>
  </w:style>
  <w:style w:type="character" w:customStyle="1" w:styleId="NoSpacingChar">
    <w:name w:val="No Spacing Char"/>
    <w:basedOn w:val="DefaultParagraphFont"/>
    <w:link w:val="NoSpacing"/>
    <w:uiPriority w:val="1"/>
    <w:rsid w:val="00EE2101"/>
  </w:style>
  <w:style w:type="paragraph" w:styleId="Revision">
    <w:name w:val="Revision"/>
    <w:hidden/>
    <w:uiPriority w:val="99"/>
    <w:semiHidden/>
    <w:rsid w:val="00AF4C03"/>
  </w:style>
  <w:style w:type="paragraph" w:styleId="BodyText">
    <w:name w:val="Body Text"/>
    <w:basedOn w:val="Normal"/>
    <w:link w:val="BodyTextChar"/>
    <w:uiPriority w:val="1"/>
    <w:qFormat/>
    <w:rsid w:val="009D1DB2"/>
    <w:pPr>
      <w:widowControl w:val="0"/>
      <w:autoSpaceDE w:val="0"/>
      <w:autoSpaceDN w:val="0"/>
      <w:adjustRightInd w:val="0"/>
      <w:ind w:left="120"/>
    </w:pPr>
    <w:rPr>
      <w:rFonts w:ascii="Times New Roman" w:eastAsia="Times New Roman" w:hAnsi="Times New Roman" w:cs="Times New Roman"/>
      <w:kern w:val="0"/>
      <w:sz w:val="24"/>
      <w:szCs w:val="24"/>
      <w14:ligatures w14:val="none"/>
    </w:rPr>
  </w:style>
  <w:style w:type="character" w:customStyle="1" w:styleId="BodyTextChar">
    <w:name w:val="Body Text Char"/>
    <w:basedOn w:val="DefaultParagraphFont"/>
    <w:link w:val="BodyText"/>
    <w:uiPriority w:val="1"/>
    <w:rsid w:val="009D1DB2"/>
    <w:rPr>
      <w:rFonts w:ascii="Times New Roman" w:eastAsia="Times New Roman" w:hAnsi="Times New Roman" w:cs="Times New Roman"/>
      <w:kern w:val="0"/>
      <w:sz w:val="24"/>
      <w:szCs w:val="24"/>
      <w14:ligatures w14:val="none"/>
    </w:rPr>
  </w:style>
  <w:style w:type="paragraph" w:styleId="NormalWeb">
    <w:name w:val="Normal (Web)"/>
    <w:basedOn w:val="Normal"/>
    <w:uiPriority w:val="99"/>
    <w:unhideWhenUsed/>
    <w:rsid w:val="00341373"/>
    <w:pPr>
      <w:spacing w:before="100" w:beforeAutospacing="1" w:after="100" w:afterAutospacing="1"/>
    </w:pPr>
    <w:rPr>
      <w:rFonts w:ascii="Times New Roman" w:eastAsia="Times New Roman" w:hAnsi="Times New Roman" w:cs="Times New Roman"/>
      <w:kern w:val="0"/>
      <w:sz w:val="24"/>
      <w:szCs w:val="24"/>
      <w14:ligatures w14:val="none"/>
    </w:rPr>
  </w:style>
  <w:style w:type="paragraph" w:styleId="Caption">
    <w:name w:val="caption"/>
    <w:basedOn w:val="Normal"/>
    <w:next w:val="Normal"/>
    <w:uiPriority w:val="35"/>
    <w:unhideWhenUsed/>
    <w:qFormat/>
    <w:rsid w:val="0023787F"/>
    <w:pPr>
      <w:spacing w:after="200"/>
    </w:pPr>
    <w:rPr>
      <w:rFonts w:asciiTheme="minorHAnsi" w:hAnsiTheme="minorHAnsi"/>
      <w:i/>
      <w:iCs/>
      <w:color w:val="44546A" w:themeColor="text2"/>
      <w:kern w:val="0"/>
      <w:sz w:val="18"/>
      <w:szCs w:val="18"/>
      <w14:ligatures w14:val="none"/>
    </w:rPr>
  </w:style>
  <w:style w:type="character" w:styleId="UnresolvedMention">
    <w:name w:val="Unresolved Mention"/>
    <w:basedOn w:val="DefaultParagraphFont"/>
    <w:uiPriority w:val="99"/>
    <w:semiHidden/>
    <w:unhideWhenUsed/>
    <w:rsid w:val="00415E0A"/>
    <w:rPr>
      <w:color w:val="605E5C"/>
      <w:shd w:val="clear" w:color="auto" w:fill="E1DFDD"/>
    </w:rPr>
  </w:style>
  <w:style w:type="character" w:styleId="FollowedHyperlink">
    <w:name w:val="FollowedHyperlink"/>
    <w:basedOn w:val="DefaultParagraphFont"/>
    <w:uiPriority w:val="99"/>
    <w:semiHidden/>
    <w:unhideWhenUsed/>
    <w:rsid w:val="00415E0A"/>
    <w:rPr>
      <w:color w:val="954F72" w:themeColor="followedHyperlink"/>
      <w:u w:val="single"/>
    </w:rPr>
  </w:style>
  <w:style w:type="character" w:styleId="SubtleReference">
    <w:name w:val="Subtle Reference"/>
    <w:basedOn w:val="DefaultParagraphFont"/>
    <w:uiPriority w:val="31"/>
    <w:qFormat/>
    <w:rsid w:val="00C00158"/>
    <w:rPr>
      <w:smallCaps/>
      <w:color w:val="5A5A5A" w:themeColor="text1" w:themeTint="A5"/>
    </w:rPr>
  </w:style>
  <w:style w:type="paragraph" w:styleId="TOCHeading">
    <w:name w:val="TOC Heading"/>
    <w:basedOn w:val="Heading1"/>
    <w:next w:val="Normal"/>
    <w:uiPriority w:val="39"/>
    <w:unhideWhenUsed/>
    <w:qFormat/>
    <w:rsid w:val="00C00158"/>
    <w:pPr>
      <w:spacing w:before="240" w:line="259" w:lineRule="auto"/>
      <w:outlineLvl w:val="9"/>
    </w:pPr>
    <w:rPr>
      <w:rFonts w:asciiTheme="majorHAnsi" w:hAnsiTheme="majorHAnsi" w:cstheme="majorBidi"/>
      <w:b w:val="0"/>
      <w:bCs w:val="0"/>
      <w:color w:val="2F5496" w:themeColor="accent1" w:themeShade="BF"/>
      <w:kern w:val="0"/>
      <w:sz w:val="32"/>
      <w:szCs w:val="32"/>
      <w14:ligatures w14:val="none"/>
    </w:rPr>
  </w:style>
  <w:style w:type="paragraph" w:styleId="TOC1">
    <w:name w:val="toc 1"/>
    <w:basedOn w:val="Normal"/>
    <w:next w:val="Normal"/>
    <w:autoRedefine/>
    <w:uiPriority w:val="39"/>
    <w:unhideWhenUsed/>
    <w:rsid w:val="007E4B7E"/>
    <w:pPr>
      <w:tabs>
        <w:tab w:val="right" w:leader="dot" w:pos="9350"/>
      </w:tabs>
      <w:spacing w:after="100"/>
    </w:pPr>
    <w:rPr>
      <w:rFonts w:asciiTheme="minorHAnsi" w:hAnsiTheme="minorHAnsi" w:cstheme="minorHAnsi"/>
      <w:b/>
      <w:bCs/>
      <w:noProof/>
      <w:color w:val="000000" w:themeColor="text1"/>
    </w:rPr>
  </w:style>
  <w:style w:type="paragraph" w:styleId="TOC2">
    <w:name w:val="toc 2"/>
    <w:basedOn w:val="Normal"/>
    <w:next w:val="Normal"/>
    <w:autoRedefine/>
    <w:uiPriority w:val="39"/>
    <w:unhideWhenUsed/>
    <w:rsid w:val="00C00158"/>
    <w:pPr>
      <w:spacing w:after="100"/>
      <w:ind w:left="220"/>
    </w:pPr>
  </w:style>
  <w:style w:type="paragraph" w:styleId="TOC3">
    <w:name w:val="toc 3"/>
    <w:basedOn w:val="Normal"/>
    <w:next w:val="Normal"/>
    <w:autoRedefine/>
    <w:uiPriority w:val="39"/>
    <w:unhideWhenUsed/>
    <w:rsid w:val="00C00158"/>
    <w:pPr>
      <w:spacing w:after="100" w:line="259" w:lineRule="auto"/>
      <w:ind w:left="440"/>
    </w:pPr>
    <w:rPr>
      <w:rFonts w:asciiTheme="minorHAnsi" w:eastAsiaTheme="minorEastAsia" w:hAnsiTheme="minorHAnsi"/>
    </w:rPr>
  </w:style>
  <w:style w:type="paragraph" w:styleId="TOC4">
    <w:name w:val="toc 4"/>
    <w:basedOn w:val="Normal"/>
    <w:next w:val="Normal"/>
    <w:autoRedefine/>
    <w:uiPriority w:val="39"/>
    <w:unhideWhenUsed/>
    <w:rsid w:val="00C00158"/>
    <w:pPr>
      <w:spacing w:after="100" w:line="259" w:lineRule="auto"/>
      <w:ind w:left="660"/>
    </w:pPr>
    <w:rPr>
      <w:rFonts w:asciiTheme="minorHAnsi" w:eastAsiaTheme="minorEastAsia" w:hAnsiTheme="minorHAnsi"/>
    </w:rPr>
  </w:style>
  <w:style w:type="paragraph" w:styleId="TOC5">
    <w:name w:val="toc 5"/>
    <w:basedOn w:val="Normal"/>
    <w:next w:val="Normal"/>
    <w:autoRedefine/>
    <w:uiPriority w:val="39"/>
    <w:unhideWhenUsed/>
    <w:rsid w:val="00C00158"/>
    <w:pPr>
      <w:spacing w:after="100" w:line="259" w:lineRule="auto"/>
      <w:ind w:left="880"/>
    </w:pPr>
    <w:rPr>
      <w:rFonts w:asciiTheme="minorHAnsi" w:eastAsiaTheme="minorEastAsia" w:hAnsiTheme="minorHAnsi"/>
    </w:rPr>
  </w:style>
  <w:style w:type="paragraph" w:styleId="TOC6">
    <w:name w:val="toc 6"/>
    <w:basedOn w:val="Normal"/>
    <w:next w:val="Normal"/>
    <w:autoRedefine/>
    <w:uiPriority w:val="39"/>
    <w:unhideWhenUsed/>
    <w:rsid w:val="00C00158"/>
    <w:pPr>
      <w:spacing w:after="100" w:line="259" w:lineRule="auto"/>
      <w:ind w:left="1100"/>
    </w:pPr>
    <w:rPr>
      <w:rFonts w:asciiTheme="minorHAnsi" w:eastAsiaTheme="minorEastAsia" w:hAnsiTheme="minorHAnsi"/>
    </w:rPr>
  </w:style>
  <w:style w:type="paragraph" w:styleId="TOC7">
    <w:name w:val="toc 7"/>
    <w:basedOn w:val="Normal"/>
    <w:next w:val="Normal"/>
    <w:autoRedefine/>
    <w:uiPriority w:val="39"/>
    <w:unhideWhenUsed/>
    <w:rsid w:val="00C00158"/>
    <w:pPr>
      <w:spacing w:after="100" w:line="259" w:lineRule="auto"/>
      <w:ind w:left="1320"/>
    </w:pPr>
    <w:rPr>
      <w:rFonts w:asciiTheme="minorHAnsi" w:eastAsiaTheme="minorEastAsia" w:hAnsiTheme="minorHAnsi"/>
    </w:rPr>
  </w:style>
  <w:style w:type="paragraph" w:styleId="TOC8">
    <w:name w:val="toc 8"/>
    <w:basedOn w:val="Normal"/>
    <w:next w:val="Normal"/>
    <w:autoRedefine/>
    <w:uiPriority w:val="39"/>
    <w:unhideWhenUsed/>
    <w:rsid w:val="00C00158"/>
    <w:pPr>
      <w:spacing w:after="100" w:line="259" w:lineRule="auto"/>
      <w:ind w:left="1540"/>
    </w:pPr>
    <w:rPr>
      <w:rFonts w:asciiTheme="minorHAnsi" w:eastAsiaTheme="minorEastAsia" w:hAnsiTheme="minorHAnsi"/>
    </w:rPr>
  </w:style>
  <w:style w:type="paragraph" w:styleId="TOC9">
    <w:name w:val="toc 9"/>
    <w:basedOn w:val="Normal"/>
    <w:next w:val="Normal"/>
    <w:autoRedefine/>
    <w:uiPriority w:val="39"/>
    <w:unhideWhenUsed/>
    <w:rsid w:val="00C00158"/>
    <w:pPr>
      <w:spacing w:after="100" w:line="259" w:lineRule="auto"/>
      <w:ind w:left="1760"/>
    </w:pPr>
    <w:rPr>
      <w:rFonts w:asciiTheme="minorHAnsi" w:eastAsiaTheme="minorEastAsia" w:hAnsiTheme="minorHAnsi"/>
    </w:rPr>
  </w:style>
  <w:style w:type="paragraph" w:styleId="FootnoteText">
    <w:name w:val="footnote text"/>
    <w:basedOn w:val="Normal"/>
    <w:link w:val="FootnoteTextChar"/>
    <w:uiPriority w:val="99"/>
    <w:semiHidden/>
    <w:unhideWhenUsed/>
    <w:rsid w:val="00953BAF"/>
    <w:rPr>
      <w:sz w:val="20"/>
      <w:szCs w:val="20"/>
    </w:rPr>
  </w:style>
  <w:style w:type="character" w:customStyle="1" w:styleId="FootnoteTextChar">
    <w:name w:val="Footnote Text Char"/>
    <w:basedOn w:val="DefaultParagraphFont"/>
    <w:link w:val="FootnoteText"/>
    <w:uiPriority w:val="99"/>
    <w:semiHidden/>
    <w:rsid w:val="00953BAF"/>
    <w:rPr>
      <w:sz w:val="20"/>
      <w:szCs w:val="20"/>
    </w:rPr>
  </w:style>
  <w:style w:type="character" w:styleId="FootnoteReference">
    <w:name w:val="footnote reference"/>
    <w:basedOn w:val="DefaultParagraphFont"/>
    <w:uiPriority w:val="99"/>
    <w:semiHidden/>
    <w:unhideWhenUsed/>
    <w:rsid w:val="00953BA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237089">
      <w:bodyDiv w:val="1"/>
      <w:marLeft w:val="0"/>
      <w:marRight w:val="0"/>
      <w:marTop w:val="0"/>
      <w:marBottom w:val="0"/>
      <w:divBdr>
        <w:top w:val="none" w:sz="0" w:space="0" w:color="auto"/>
        <w:left w:val="none" w:sz="0" w:space="0" w:color="auto"/>
        <w:bottom w:val="none" w:sz="0" w:space="0" w:color="auto"/>
        <w:right w:val="none" w:sz="0" w:space="0" w:color="auto"/>
      </w:divBdr>
    </w:div>
    <w:div w:id="367723016">
      <w:bodyDiv w:val="1"/>
      <w:marLeft w:val="0"/>
      <w:marRight w:val="0"/>
      <w:marTop w:val="0"/>
      <w:marBottom w:val="0"/>
      <w:divBdr>
        <w:top w:val="none" w:sz="0" w:space="0" w:color="auto"/>
        <w:left w:val="none" w:sz="0" w:space="0" w:color="auto"/>
        <w:bottom w:val="none" w:sz="0" w:space="0" w:color="auto"/>
        <w:right w:val="none" w:sz="0" w:space="0" w:color="auto"/>
      </w:divBdr>
      <w:divsChild>
        <w:div w:id="1120758478">
          <w:marLeft w:val="0"/>
          <w:marRight w:val="0"/>
          <w:marTop w:val="0"/>
          <w:marBottom w:val="0"/>
          <w:divBdr>
            <w:top w:val="none" w:sz="0" w:space="0" w:color="auto"/>
            <w:left w:val="none" w:sz="0" w:space="0" w:color="auto"/>
            <w:bottom w:val="none" w:sz="0" w:space="0" w:color="auto"/>
            <w:right w:val="none" w:sz="0" w:space="0" w:color="auto"/>
          </w:divBdr>
        </w:div>
      </w:divsChild>
    </w:div>
    <w:div w:id="428088412">
      <w:bodyDiv w:val="1"/>
      <w:marLeft w:val="0"/>
      <w:marRight w:val="0"/>
      <w:marTop w:val="0"/>
      <w:marBottom w:val="0"/>
      <w:divBdr>
        <w:top w:val="none" w:sz="0" w:space="0" w:color="auto"/>
        <w:left w:val="none" w:sz="0" w:space="0" w:color="auto"/>
        <w:bottom w:val="none" w:sz="0" w:space="0" w:color="auto"/>
        <w:right w:val="none" w:sz="0" w:space="0" w:color="auto"/>
      </w:divBdr>
    </w:div>
    <w:div w:id="723069657">
      <w:bodyDiv w:val="1"/>
      <w:marLeft w:val="0"/>
      <w:marRight w:val="0"/>
      <w:marTop w:val="0"/>
      <w:marBottom w:val="0"/>
      <w:divBdr>
        <w:top w:val="none" w:sz="0" w:space="0" w:color="auto"/>
        <w:left w:val="none" w:sz="0" w:space="0" w:color="auto"/>
        <w:bottom w:val="none" w:sz="0" w:space="0" w:color="auto"/>
        <w:right w:val="none" w:sz="0" w:space="0" w:color="auto"/>
      </w:divBdr>
    </w:div>
    <w:div w:id="1163354633">
      <w:bodyDiv w:val="1"/>
      <w:marLeft w:val="0"/>
      <w:marRight w:val="0"/>
      <w:marTop w:val="0"/>
      <w:marBottom w:val="0"/>
      <w:divBdr>
        <w:top w:val="none" w:sz="0" w:space="0" w:color="auto"/>
        <w:left w:val="none" w:sz="0" w:space="0" w:color="auto"/>
        <w:bottom w:val="none" w:sz="0" w:space="0" w:color="auto"/>
        <w:right w:val="none" w:sz="0" w:space="0" w:color="auto"/>
      </w:divBdr>
    </w:div>
    <w:div w:id="1737968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9.jpeg"/><Relationship Id="rId26" Type="http://schemas.openxmlformats.org/officeDocument/2006/relationships/chart" Target="charts/chart2.xml"/><Relationship Id="rId39" Type="http://schemas.openxmlformats.org/officeDocument/2006/relationships/hyperlink" Target="https://platteriverprogram.org/internal-document/pallid-sturgeon-agreement-framing-document-final" TargetMode="External"/><Relationship Id="rId21" Type="http://schemas.openxmlformats.org/officeDocument/2006/relationships/image" Target="media/image12.png"/><Relationship Id="rId34" Type="http://schemas.openxmlformats.org/officeDocument/2006/relationships/hyperlink" Target="http://www.rickrasmussen.com" TargetMode="External"/><Relationship Id="rId42" Type="http://schemas.openxmlformats.org/officeDocument/2006/relationships/image" Target="media/image27.jpeg"/><Relationship Id="rId47" Type="http://schemas.openxmlformats.org/officeDocument/2006/relationships/hyperlink" Target="https://www.proquest.com/openview/aae625d1172d7270ddcd214860a067be/1.pdf?pq-origsite=gscholar&amp;cbl=18750&amp;diss=y" TargetMode="External"/><Relationship Id="rId50" Type="http://schemas.openxmlformats.org/officeDocument/2006/relationships/hyperlink" Target="https://doi.org/10.1002/ecs2.3829" TargetMode="External"/><Relationship Id="rId55" Type="http://schemas.openxmlformats.org/officeDocument/2006/relationships/image" Target="media/image3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4.png"/><Relationship Id="rId24" Type="http://schemas.openxmlformats.org/officeDocument/2006/relationships/image" Target="media/image15.svg"/><Relationship Id="rId32" Type="http://schemas.openxmlformats.org/officeDocument/2006/relationships/image" Target="media/image22.emf"/><Relationship Id="rId37" Type="http://schemas.openxmlformats.org/officeDocument/2006/relationships/chart" Target="charts/chart4.xml"/><Relationship Id="rId40" Type="http://schemas.openxmlformats.org/officeDocument/2006/relationships/image" Target="media/image25.png"/><Relationship Id="rId45" Type="http://schemas.openxmlformats.org/officeDocument/2006/relationships/image" Target="media/image30.tiff"/><Relationship Id="rId53" Type="http://schemas.openxmlformats.org/officeDocument/2006/relationships/hyperlink" Target="https://doi.org/10.3389/fbirs.2023.1157682" TargetMode="External"/><Relationship Id="rId58" Type="http://schemas.openxmlformats.org/officeDocument/2006/relationships/image" Target="media/image34.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footer" Target="footer1.xml"/><Relationship Id="rId22" Type="http://schemas.openxmlformats.org/officeDocument/2006/relationships/image" Target="media/image13.sv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www.rickrasmussen.com" TargetMode="External"/><Relationship Id="rId43" Type="http://schemas.openxmlformats.org/officeDocument/2006/relationships/image" Target="media/image28.png"/><Relationship Id="rId48" Type="http://schemas.openxmlformats.org/officeDocument/2006/relationships/hyperlink" Target="https://doi.org/10.5751/ACE-02311-170235" TargetMode="External"/><Relationship Id="rId56" Type="http://schemas.openxmlformats.org/officeDocument/2006/relationships/image" Target="media/image32.png"/><Relationship Id="rId8" Type="http://schemas.openxmlformats.org/officeDocument/2006/relationships/image" Target="media/image1.jpeg"/><Relationship Id="rId51" Type="http://schemas.openxmlformats.org/officeDocument/2006/relationships/hyperlink" Target="https://digitalcommons.unl.edu/zeabook/128/"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6.svg"/><Relationship Id="rId33" Type="http://schemas.openxmlformats.org/officeDocument/2006/relationships/image" Target="media/image23.jpeg"/><Relationship Id="rId38" Type="http://schemas.openxmlformats.org/officeDocument/2006/relationships/image" Target="media/image24.png"/><Relationship Id="rId46" Type="http://schemas.openxmlformats.org/officeDocument/2006/relationships/hyperlink" Target="https://doi.org/10.1675/063.043.0201" TargetMode="External"/><Relationship Id="rId59" Type="http://schemas.openxmlformats.org/officeDocument/2006/relationships/image" Target="media/image35.png"/><Relationship Id="rId20" Type="http://schemas.openxmlformats.org/officeDocument/2006/relationships/image" Target="media/image11.svg"/><Relationship Id="rId41" Type="http://schemas.openxmlformats.org/officeDocument/2006/relationships/image" Target="media/image26.jpeg"/><Relationship Id="rId54" Type="http://schemas.openxmlformats.org/officeDocument/2006/relationships/hyperlink" Target="Biological%20report%20for%20the%20northern%20Great%20Plains%20piping%20plover%20population%20(Charadrius%20melodus%20circumcinctu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chart" Target="charts/chart3.xml"/><Relationship Id="rId49" Type="http://schemas.openxmlformats.org/officeDocument/2006/relationships/hyperlink" Target="https://doi.org/10.1675/063.045.0413" TargetMode="External"/><Relationship Id="rId57" Type="http://schemas.openxmlformats.org/officeDocument/2006/relationships/image" Target="media/image33.png"/><Relationship Id="rId10" Type="http://schemas.openxmlformats.org/officeDocument/2006/relationships/image" Target="media/image3.jpeg"/><Relationship Id="rId31" Type="http://schemas.openxmlformats.org/officeDocument/2006/relationships/image" Target="media/image21.svg"/><Relationship Id="rId44" Type="http://schemas.openxmlformats.org/officeDocument/2006/relationships/image" Target="media/image29.png"/><Relationship Id="rId52" Type="http://schemas.openxmlformats.org/officeDocument/2006/relationships/hyperlink" Target="https://digitalcommons.unl.edu/nacwgproc/397/"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wc.local\HWC-DFS-drive\Projects\PRRIP\Monitoring%20and%20Research\System%20Geomorph%20and%20Veg\Report\2023%20Report\2021_22%20Update\Land%20Cover%20Classification%20Figures_JG_2122.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ystem%20Geomorph%20and%20Veg\Report\2023%20Report\2021_22%20Update\Land%20Cover%20Classification%20Figures_JG_212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bruggemanj\Documents\stateoftheplattereport\wcmetrics_spring_fall.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bruggemanj\Documents\stateoftheplattereport\wcmetrics_spring_fall.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2870113092618"/>
          <c:y val="8.2333208034305536E-2"/>
          <c:w val="0.75721852076182783"/>
          <c:h val="0.72430483769654219"/>
        </c:manualLayout>
      </c:layout>
      <c:scatterChart>
        <c:scatterStyle val="lineMarker"/>
        <c:varyColors val="0"/>
        <c:ser>
          <c:idx val="0"/>
          <c:order val="0"/>
          <c:tx>
            <c:strRef>
              <c:f>'TUOCW &amp; MUOCW'!$A$3</c:f>
              <c:strCache>
                <c:ptCount val="1"/>
                <c:pt idx="0">
                  <c:v>Visually-Classified Width (ft)</c:v>
                </c:pt>
              </c:strCache>
            </c:strRef>
          </c:tx>
          <c:spPr>
            <a:ln w="19050" cap="rnd">
              <a:solidFill>
                <a:srgbClr val="00B050"/>
              </a:solidFill>
              <a:prstDash val="sysDash"/>
              <a:round/>
            </a:ln>
            <a:effectLst/>
          </c:spPr>
          <c:marker>
            <c:symbol val="circle"/>
            <c:size val="5"/>
            <c:spPr>
              <a:solidFill>
                <a:srgbClr val="00B050"/>
              </a:solidFill>
              <a:ln w="9525">
                <a:solidFill>
                  <a:srgbClr val="00B050"/>
                </a:solidFill>
              </a:ln>
              <a:effectLst/>
            </c:spPr>
          </c:marker>
          <c:xVal>
            <c:numRef>
              <c:f>'TUOCW &amp; MUOCW'!$A$4:$A$25</c:f>
              <c:numCache>
                <c:formatCode>General</c:formatCode>
                <c:ptCount val="22"/>
                <c:pt idx="0">
                  <c:v>1998</c:v>
                </c:pt>
                <c:pt idx="1">
                  <c:v>1999</c:v>
                </c:pt>
                <c:pt idx="2">
                  <c:v>2000</c:v>
                </c:pt>
                <c:pt idx="3">
                  <c:v>2001</c:v>
                </c:pt>
                <c:pt idx="4">
                  <c:v>2002</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numCache>
            </c:numRef>
          </c:xVal>
          <c:yVal>
            <c:numRef>
              <c:f>'TUOCW &amp; MUOCW'!$C$4:$C$25</c:f>
              <c:numCache>
                <c:formatCode>General</c:formatCode>
                <c:ptCount val="22"/>
                <c:pt idx="0">
                  <c:v>710.71896313364061</c:v>
                </c:pt>
                <c:pt idx="1">
                  <c:v>753.17068965517251</c:v>
                </c:pt>
                <c:pt idx="2">
                  <c:v>752.61565517241388</c:v>
                </c:pt>
                <c:pt idx="3">
                  <c:v>752.06055172413789</c:v>
                </c:pt>
                <c:pt idx="4">
                  <c:v>595.31377011494226</c:v>
                </c:pt>
                <c:pt idx="5">
                  <c:v>202.07243678160918</c:v>
                </c:pt>
                <c:pt idx="6">
                  <c:v>431.05445977011459</c:v>
                </c:pt>
                <c:pt idx="7">
                  <c:v>452.81029885057455</c:v>
                </c:pt>
                <c:pt idx="8">
                  <c:v>474.35737931034515</c:v>
                </c:pt>
                <c:pt idx="9">
                  <c:v>598.54843678160944</c:v>
                </c:pt>
                <c:pt idx="10">
                  <c:v>528.88558620689651</c:v>
                </c:pt>
                <c:pt idx="11">
                  <c:v>550.91193103448279</c:v>
                </c:pt>
                <c:pt idx="12">
                  <c:v>685.66770114942506</c:v>
                </c:pt>
                <c:pt idx="13">
                  <c:v>586.64213793103409</c:v>
                </c:pt>
                <c:pt idx="14">
                  <c:v>606.49020689655129</c:v>
                </c:pt>
                <c:pt idx="15">
                  <c:v>591.90450574712679</c:v>
                </c:pt>
                <c:pt idx="16">
                  <c:v>824.21627586206955</c:v>
                </c:pt>
                <c:pt idx="17">
                  <c:v>814.02599999999961</c:v>
                </c:pt>
                <c:pt idx="18">
                  <c:v>803.56979310344786</c:v>
                </c:pt>
                <c:pt idx="19">
                  <c:v>790.3937701149423</c:v>
                </c:pt>
                <c:pt idx="20">
                  <c:v>821.5004597488487</c:v>
                </c:pt>
                <c:pt idx="21">
                  <c:v>814.68279907373312</c:v>
                </c:pt>
              </c:numCache>
            </c:numRef>
          </c:yVal>
          <c:smooth val="0"/>
          <c:extLst>
            <c:ext xmlns:c16="http://schemas.microsoft.com/office/drawing/2014/chart" uri="{C3380CC4-5D6E-409C-BE32-E72D297353CC}">
              <c16:uniqueId val="{00000000-19E3-4143-BDA3-CBCA18EB2B9A}"/>
            </c:ext>
          </c:extLst>
        </c:ser>
        <c:ser>
          <c:idx val="1"/>
          <c:order val="1"/>
          <c:tx>
            <c:strRef>
              <c:f>'TUOCW &amp; MUOCW'!$A$26</c:f>
              <c:strCache>
                <c:ptCount val="1"/>
                <c:pt idx="0">
                  <c:v>Remotely Classified Width (ft)</c:v>
                </c:pt>
              </c:strCache>
            </c:strRef>
          </c:tx>
          <c:spPr>
            <a:ln w="19050" cap="rnd">
              <a:solidFill>
                <a:schemeClr val="accent6">
                  <a:lumMod val="50000"/>
                </a:schemeClr>
              </a:solidFill>
              <a:round/>
            </a:ln>
            <a:effectLst/>
          </c:spPr>
          <c:marker>
            <c:symbol val="circle"/>
            <c:size val="5"/>
            <c:spPr>
              <a:solidFill>
                <a:schemeClr val="accent6">
                  <a:lumMod val="50000"/>
                </a:schemeClr>
              </a:solidFill>
              <a:ln w="9525">
                <a:solidFill>
                  <a:schemeClr val="accent6">
                    <a:lumMod val="50000"/>
                  </a:schemeClr>
                </a:solidFill>
              </a:ln>
              <a:effectLst/>
            </c:spPr>
          </c:marker>
          <c:xVal>
            <c:numRef>
              <c:f>'TUOCW &amp; MUOCW'!$A$27:$A$32</c:f>
              <c:numCache>
                <c:formatCode>General</c:formatCode>
                <c:ptCount val="6"/>
                <c:pt idx="0">
                  <c:v>2017</c:v>
                </c:pt>
                <c:pt idx="1">
                  <c:v>2018</c:v>
                </c:pt>
                <c:pt idx="2">
                  <c:v>2019</c:v>
                </c:pt>
                <c:pt idx="3">
                  <c:v>2020</c:v>
                </c:pt>
                <c:pt idx="4">
                  <c:v>2021</c:v>
                </c:pt>
                <c:pt idx="5">
                  <c:v>2022</c:v>
                </c:pt>
              </c:numCache>
            </c:numRef>
          </c:xVal>
          <c:yVal>
            <c:numRef>
              <c:f>'TUOCW &amp; MUOCW'!$C$27:$C$32</c:f>
              <c:numCache>
                <c:formatCode>0</c:formatCode>
                <c:ptCount val="6"/>
                <c:pt idx="0">
                  <c:v>771.48466981132106</c:v>
                </c:pt>
                <c:pt idx="1">
                  <c:v>779.62617924528297</c:v>
                </c:pt>
                <c:pt idx="2">
                  <c:v>781.30542452830196</c:v>
                </c:pt>
                <c:pt idx="3">
                  <c:v>774.23466981132106</c:v>
                </c:pt>
                <c:pt idx="4">
                  <c:v>785.1</c:v>
                </c:pt>
                <c:pt idx="5">
                  <c:v>785.3</c:v>
                </c:pt>
              </c:numCache>
            </c:numRef>
          </c:yVal>
          <c:smooth val="0"/>
          <c:extLst>
            <c:ext xmlns:c16="http://schemas.microsoft.com/office/drawing/2014/chart" uri="{C3380CC4-5D6E-409C-BE32-E72D297353CC}">
              <c16:uniqueId val="{00000001-19E3-4143-BDA3-CBCA18EB2B9A}"/>
            </c:ext>
          </c:extLst>
        </c:ser>
        <c:dLbls>
          <c:showLegendKey val="0"/>
          <c:showVal val="0"/>
          <c:showCatName val="0"/>
          <c:showSerName val="0"/>
          <c:showPercent val="0"/>
          <c:showBubbleSize val="0"/>
        </c:dLbls>
        <c:axId val="254687632"/>
        <c:axId val="254489888"/>
      </c:scatterChart>
      <c:scatterChart>
        <c:scatterStyle val="lineMarker"/>
        <c:varyColors val="0"/>
        <c:ser>
          <c:idx val="2"/>
          <c:order val="2"/>
          <c:tx>
            <c:v>40-Day Mean Peak (cfs)</c:v>
          </c:tx>
          <c:spPr>
            <a:ln w="19050" cap="rnd">
              <a:solidFill>
                <a:schemeClr val="bg1">
                  <a:lumMod val="50000"/>
                </a:schemeClr>
              </a:solidFill>
              <a:prstDash val="sysDash"/>
              <a:round/>
            </a:ln>
            <a:effectLst/>
          </c:spPr>
          <c:marker>
            <c:symbol val="none"/>
          </c:marker>
          <c:xVal>
            <c:numRef>
              <c:f>Discharge!$S$2:$S$26</c:f>
              <c:numCache>
                <c:formatCode>General</c:formatCode>
                <c:ptCount val="25"/>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numCache>
            </c:numRef>
          </c:xVal>
          <c:yVal>
            <c:numRef>
              <c:f>Discharge!$T$2:$T$26</c:f>
              <c:numCache>
                <c:formatCode>General</c:formatCode>
                <c:ptCount val="25"/>
                <c:pt idx="0">
                  <c:v>7540</c:v>
                </c:pt>
                <c:pt idx="1">
                  <c:v>11700</c:v>
                </c:pt>
                <c:pt idx="2">
                  <c:v>3740</c:v>
                </c:pt>
                <c:pt idx="3">
                  <c:v>3070</c:v>
                </c:pt>
                <c:pt idx="4">
                  <c:v>2080</c:v>
                </c:pt>
                <c:pt idx="5">
                  <c:v>1430</c:v>
                </c:pt>
                <c:pt idx="6">
                  <c:v>1350</c:v>
                </c:pt>
                <c:pt idx="7">
                  <c:v>6030</c:v>
                </c:pt>
                <c:pt idx="8">
                  <c:v>1340</c:v>
                </c:pt>
                <c:pt idx="9">
                  <c:v>6480</c:v>
                </c:pt>
                <c:pt idx="10">
                  <c:v>12400</c:v>
                </c:pt>
                <c:pt idx="11">
                  <c:v>3430</c:v>
                </c:pt>
                <c:pt idx="12">
                  <c:v>8630</c:v>
                </c:pt>
                <c:pt idx="13">
                  <c:v>10200</c:v>
                </c:pt>
                <c:pt idx="14">
                  <c:v>3320</c:v>
                </c:pt>
                <c:pt idx="15">
                  <c:v>10100</c:v>
                </c:pt>
                <c:pt idx="16">
                  <c:v>8120</c:v>
                </c:pt>
                <c:pt idx="17">
                  <c:v>16000</c:v>
                </c:pt>
                <c:pt idx="18">
                  <c:v>8750</c:v>
                </c:pt>
                <c:pt idx="19">
                  <c:v>4560</c:v>
                </c:pt>
                <c:pt idx="20">
                  <c:v>3010</c:v>
                </c:pt>
                <c:pt idx="21">
                  <c:v>18200</c:v>
                </c:pt>
                <c:pt idx="22">
                  <c:v>9310</c:v>
                </c:pt>
                <c:pt idx="23">
                  <c:v>5560</c:v>
                </c:pt>
                <c:pt idx="24">
                  <c:v>2410</c:v>
                </c:pt>
              </c:numCache>
            </c:numRef>
          </c:yVal>
          <c:smooth val="0"/>
          <c:extLst>
            <c:ext xmlns:c16="http://schemas.microsoft.com/office/drawing/2014/chart" uri="{C3380CC4-5D6E-409C-BE32-E72D297353CC}">
              <c16:uniqueId val="{00000002-19E3-4143-BDA3-CBCA18EB2B9A}"/>
            </c:ext>
          </c:extLst>
        </c:ser>
        <c:dLbls>
          <c:showLegendKey val="0"/>
          <c:showVal val="0"/>
          <c:showCatName val="0"/>
          <c:showSerName val="0"/>
          <c:showPercent val="0"/>
          <c:showBubbleSize val="0"/>
        </c:dLbls>
        <c:axId val="854085400"/>
        <c:axId val="854085040"/>
      </c:scatterChart>
      <c:valAx>
        <c:axId val="254687632"/>
        <c:scaling>
          <c:orientation val="minMax"/>
          <c:max val="2023"/>
          <c:min val="1998"/>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crossAx val="254489888"/>
        <c:crosses val="autoZero"/>
        <c:crossBetween val="midCat"/>
      </c:valAx>
      <c:valAx>
        <c:axId val="254489888"/>
        <c:scaling>
          <c:orientation val="minMax"/>
          <c:max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r>
                  <a:rPr lang="en-US"/>
                  <a:t>Mean TUCW Main Channel (ft)</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crossAx val="254687632"/>
        <c:crosses val="autoZero"/>
        <c:crossBetween val="midCat"/>
      </c:valAx>
      <c:valAx>
        <c:axId val="854085040"/>
        <c:scaling>
          <c:orientation val="minMax"/>
        </c:scaling>
        <c:delete val="0"/>
        <c:axPos val="r"/>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r>
                  <a:rPr lang="en-US"/>
                  <a:t>40-day Mean Peak Discharge (cfs)</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crossAx val="854085400"/>
        <c:crosses val="max"/>
        <c:crossBetween val="midCat"/>
      </c:valAx>
      <c:valAx>
        <c:axId val="854085400"/>
        <c:scaling>
          <c:orientation val="minMax"/>
        </c:scaling>
        <c:delete val="1"/>
        <c:axPos val="b"/>
        <c:numFmt formatCode="General" sourceLinked="1"/>
        <c:majorTickMark val="out"/>
        <c:minorTickMark val="none"/>
        <c:tickLblPos val="nextTo"/>
        <c:crossAx val="854085040"/>
        <c:crosses val="autoZero"/>
        <c:crossBetween val="midCat"/>
      </c:valAx>
      <c:spPr>
        <a:noFill/>
        <a:ln>
          <a:noFill/>
        </a:ln>
        <a:effectLst/>
      </c:spPr>
    </c:plotArea>
    <c:legend>
      <c:legendPos val="r"/>
      <c:layout>
        <c:manualLayout>
          <c:xMode val="edge"/>
          <c:yMode val="edge"/>
          <c:x val="0.11842517626202123"/>
          <c:y val="0.90093187095321603"/>
          <c:w val="0.78387782009961915"/>
          <c:h val="9.9068129046783929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latin typeface="+mn-lt"/>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82870113092618"/>
          <c:y val="8.2333208034305536E-2"/>
          <c:w val="0.78050185997693111"/>
          <c:h val="0.72430483769654219"/>
        </c:manualLayout>
      </c:layout>
      <c:scatterChart>
        <c:scatterStyle val="lineMarker"/>
        <c:varyColors val="0"/>
        <c:ser>
          <c:idx val="0"/>
          <c:order val="0"/>
          <c:tx>
            <c:strRef>
              <c:f>'TUOCW &amp; MUOCW'!$A$3</c:f>
              <c:strCache>
                <c:ptCount val="1"/>
                <c:pt idx="0">
                  <c:v>Visually-Classified Width (ft)</c:v>
                </c:pt>
              </c:strCache>
            </c:strRef>
          </c:tx>
          <c:spPr>
            <a:ln w="19050" cap="rnd">
              <a:solidFill>
                <a:srgbClr val="00B050"/>
              </a:solidFill>
              <a:prstDash val="sysDash"/>
              <a:round/>
            </a:ln>
            <a:effectLst/>
          </c:spPr>
          <c:marker>
            <c:symbol val="circle"/>
            <c:size val="5"/>
            <c:spPr>
              <a:solidFill>
                <a:srgbClr val="00B050"/>
              </a:solidFill>
              <a:ln w="9525">
                <a:solidFill>
                  <a:srgbClr val="00B050"/>
                </a:solidFill>
              </a:ln>
              <a:effectLst/>
            </c:spPr>
          </c:marker>
          <c:xVal>
            <c:numRef>
              <c:f>'TUOCW &amp; MUOCW'!$A$4:$A$25</c:f>
              <c:numCache>
                <c:formatCode>General</c:formatCode>
                <c:ptCount val="22"/>
                <c:pt idx="0">
                  <c:v>1998</c:v>
                </c:pt>
                <c:pt idx="1">
                  <c:v>1999</c:v>
                </c:pt>
                <c:pt idx="2">
                  <c:v>2000</c:v>
                </c:pt>
                <c:pt idx="3">
                  <c:v>2001</c:v>
                </c:pt>
                <c:pt idx="4">
                  <c:v>2002</c:v>
                </c:pt>
                <c:pt idx="5">
                  <c:v>2004</c:v>
                </c:pt>
                <c:pt idx="6">
                  <c:v>2005</c:v>
                </c:pt>
                <c:pt idx="7">
                  <c:v>2006</c:v>
                </c:pt>
                <c:pt idx="8">
                  <c:v>2007</c:v>
                </c:pt>
                <c:pt idx="9">
                  <c:v>2008</c:v>
                </c:pt>
                <c:pt idx="10">
                  <c:v>2009</c:v>
                </c:pt>
                <c:pt idx="11">
                  <c:v>2010</c:v>
                </c:pt>
                <c:pt idx="12">
                  <c:v>2011</c:v>
                </c:pt>
                <c:pt idx="13">
                  <c:v>2012</c:v>
                </c:pt>
                <c:pt idx="14">
                  <c:v>2013</c:v>
                </c:pt>
                <c:pt idx="15">
                  <c:v>2014</c:v>
                </c:pt>
                <c:pt idx="16">
                  <c:v>2015</c:v>
                </c:pt>
                <c:pt idx="17">
                  <c:v>2016</c:v>
                </c:pt>
                <c:pt idx="18">
                  <c:v>2017</c:v>
                </c:pt>
                <c:pt idx="19">
                  <c:v>2018</c:v>
                </c:pt>
                <c:pt idx="20">
                  <c:v>2019</c:v>
                </c:pt>
                <c:pt idx="21">
                  <c:v>2020</c:v>
                </c:pt>
              </c:numCache>
            </c:numRef>
          </c:xVal>
          <c:yVal>
            <c:numRef>
              <c:f>'TUOCW &amp; MUOCW'!$D$4:$D$25</c:f>
              <c:numCache>
                <c:formatCode>General</c:formatCode>
                <c:ptCount val="22"/>
                <c:pt idx="0">
                  <c:v>516.92278801843293</c:v>
                </c:pt>
                <c:pt idx="1">
                  <c:v>560.28282758620674</c:v>
                </c:pt>
                <c:pt idx="2">
                  <c:v>555.48328735632231</c:v>
                </c:pt>
                <c:pt idx="3">
                  <c:v>550.68337931034466</c:v>
                </c:pt>
                <c:pt idx="4">
                  <c:v>323.37429885057486</c:v>
                </c:pt>
                <c:pt idx="5">
                  <c:v>117.75793103448285</c:v>
                </c:pt>
                <c:pt idx="6">
                  <c:v>266.29121839080443</c:v>
                </c:pt>
                <c:pt idx="7">
                  <c:v>228.38390804597697</c:v>
                </c:pt>
                <c:pt idx="8">
                  <c:v>302.93680459770115</c:v>
                </c:pt>
                <c:pt idx="9">
                  <c:v>446.64294252873555</c:v>
                </c:pt>
                <c:pt idx="10">
                  <c:v>377.34721839080447</c:v>
                </c:pt>
                <c:pt idx="11">
                  <c:v>411.98857471264358</c:v>
                </c:pt>
                <c:pt idx="12">
                  <c:v>482.32889655172386</c:v>
                </c:pt>
                <c:pt idx="13">
                  <c:v>456.89303448275837</c:v>
                </c:pt>
                <c:pt idx="14">
                  <c:v>485.70995402298865</c:v>
                </c:pt>
                <c:pt idx="15">
                  <c:v>434.73273563218402</c:v>
                </c:pt>
                <c:pt idx="16">
                  <c:v>627.69489655172436</c:v>
                </c:pt>
                <c:pt idx="17">
                  <c:v>643.60367816091923</c:v>
                </c:pt>
                <c:pt idx="18">
                  <c:v>630.30597701149406</c:v>
                </c:pt>
                <c:pt idx="19">
                  <c:v>608.44266666666658</c:v>
                </c:pt>
                <c:pt idx="20">
                  <c:v>643.73305180875627</c:v>
                </c:pt>
                <c:pt idx="21">
                  <c:v>634.76089816359467</c:v>
                </c:pt>
              </c:numCache>
            </c:numRef>
          </c:yVal>
          <c:smooth val="0"/>
          <c:extLst>
            <c:ext xmlns:c16="http://schemas.microsoft.com/office/drawing/2014/chart" uri="{C3380CC4-5D6E-409C-BE32-E72D297353CC}">
              <c16:uniqueId val="{00000000-1C0B-4317-BECF-8ACC1B4265CF}"/>
            </c:ext>
          </c:extLst>
        </c:ser>
        <c:ser>
          <c:idx val="1"/>
          <c:order val="1"/>
          <c:tx>
            <c:strRef>
              <c:f>'TUOCW &amp; MUOCW'!$A$26</c:f>
              <c:strCache>
                <c:ptCount val="1"/>
                <c:pt idx="0">
                  <c:v>Remotely Classified Width (ft)</c:v>
                </c:pt>
              </c:strCache>
            </c:strRef>
          </c:tx>
          <c:spPr>
            <a:ln w="19050" cap="rnd">
              <a:solidFill>
                <a:schemeClr val="accent3">
                  <a:lumMod val="50000"/>
                </a:schemeClr>
              </a:solidFill>
              <a:round/>
            </a:ln>
            <a:effectLst/>
          </c:spPr>
          <c:marker>
            <c:symbol val="circle"/>
            <c:size val="5"/>
            <c:spPr>
              <a:solidFill>
                <a:schemeClr val="accent3">
                  <a:lumMod val="50000"/>
                </a:schemeClr>
              </a:solidFill>
              <a:ln w="9525">
                <a:solidFill>
                  <a:schemeClr val="accent3">
                    <a:lumMod val="50000"/>
                  </a:schemeClr>
                </a:solidFill>
              </a:ln>
              <a:effectLst/>
            </c:spPr>
          </c:marker>
          <c:xVal>
            <c:numRef>
              <c:f>'TUOCW &amp; MUOCW'!$A$27:$A$32</c:f>
              <c:numCache>
                <c:formatCode>General</c:formatCode>
                <c:ptCount val="6"/>
                <c:pt idx="0">
                  <c:v>2017</c:v>
                </c:pt>
                <c:pt idx="1">
                  <c:v>2018</c:v>
                </c:pt>
                <c:pt idx="2">
                  <c:v>2019</c:v>
                </c:pt>
                <c:pt idx="3">
                  <c:v>2020</c:v>
                </c:pt>
                <c:pt idx="4">
                  <c:v>2021</c:v>
                </c:pt>
                <c:pt idx="5">
                  <c:v>2022</c:v>
                </c:pt>
              </c:numCache>
            </c:numRef>
          </c:xVal>
          <c:yVal>
            <c:numRef>
              <c:f>'TUOCW &amp; MUOCW'!$D$27:$D$32</c:f>
              <c:numCache>
                <c:formatCode>0</c:formatCode>
                <c:ptCount val="6"/>
                <c:pt idx="0">
                  <c:v>587.77122641509402</c:v>
                </c:pt>
                <c:pt idx="1">
                  <c:v>601.16273584905696</c:v>
                </c:pt>
                <c:pt idx="2">
                  <c:v>681.50707547169804</c:v>
                </c:pt>
                <c:pt idx="3">
                  <c:v>625.47523584905696</c:v>
                </c:pt>
                <c:pt idx="4">
                  <c:v>601.79999999999995</c:v>
                </c:pt>
                <c:pt idx="5">
                  <c:v>608.54999999999995</c:v>
                </c:pt>
              </c:numCache>
            </c:numRef>
          </c:yVal>
          <c:smooth val="0"/>
          <c:extLst>
            <c:ext xmlns:c16="http://schemas.microsoft.com/office/drawing/2014/chart" uri="{C3380CC4-5D6E-409C-BE32-E72D297353CC}">
              <c16:uniqueId val="{00000001-1C0B-4317-BECF-8ACC1B4265CF}"/>
            </c:ext>
          </c:extLst>
        </c:ser>
        <c:dLbls>
          <c:showLegendKey val="0"/>
          <c:showVal val="0"/>
          <c:showCatName val="0"/>
          <c:showSerName val="0"/>
          <c:showPercent val="0"/>
          <c:showBubbleSize val="0"/>
        </c:dLbls>
        <c:axId val="254687632"/>
        <c:axId val="254489888"/>
      </c:scatterChart>
      <c:scatterChart>
        <c:scatterStyle val="lineMarker"/>
        <c:varyColors val="0"/>
        <c:ser>
          <c:idx val="2"/>
          <c:order val="2"/>
          <c:tx>
            <c:v>Mean Annual Discharge (cfs)</c:v>
          </c:tx>
          <c:spPr>
            <a:ln w="19050" cap="rnd">
              <a:solidFill>
                <a:schemeClr val="bg1">
                  <a:lumMod val="50000"/>
                </a:schemeClr>
              </a:solidFill>
              <a:prstDash val="sysDash"/>
              <a:round/>
            </a:ln>
            <a:effectLst/>
          </c:spPr>
          <c:marker>
            <c:symbol val="none"/>
          </c:marker>
          <c:xVal>
            <c:numRef>
              <c:f>Discharge!$E$58:$E$82</c:f>
              <c:numCache>
                <c:formatCode>General</c:formatCode>
                <c:ptCount val="25"/>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numCache>
            </c:numRef>
          </c:xVal>
          <c:yVal>
            <c:numRef>
              <c:f>Discharge!$F$58:$F$82</c:f>
              <c:numCache>
                <c:formatCode>General</c:formatCode>
                <c:ptCount val="25"/>
                <c:pt idx="0">
                  <c:v>2629</c:v>
                </c:pt>
                <c:pt idx="1">
                  <c:v>3216</c:v>
                </c:pt>
                <c:pt idx="2">
                  <c:v>1657</c:v>
                </c:pt>
                <c:pt idx="3">
                  <c:v>1227</c:v>
                </c:pt>
                <c:pt idx="4">
                  <c:v>552.9</c:v>
                </c:pt>
                <c:pt idx="5">
                  <c:v>418.5</c:v>
                </c:pt>
                <c:pt idx="6">
                  <c:v>295.7</c:v>
                </c:pt>
                <c:pt idx="7">
                  <c:v>502</c:v>
                </c:pt>
                <c:pt idx="8">
                  <c:v>355.5</c:v>
                </c:pt>
                <c:pt idx="9">
                  <c:v>1121</c:v>
                </c:pt>
                <c:pt idx="10">
                  <c:v>1300</c:v>
                </c:pt>
                <c:pt idx="11">
                  <c:v>1039</c:v>
                </c:pt>
                <c:pt idx="12">
                  <c:v>2289</c:v>
                </c:pt>
                <c:pt idx="13">
                  <c:v>4214</c:v>
                </c:pt>
                <c:pt idx="14">
                  <c:v>977.9</c:v>
                </c:pt>
                <c:pt idx="15">
                  <c:v>1024</c:v>
                </c:pt>
                <c:pt idx="16">
                  <c:v>1199</c:v>
                </c:pt>
                <c:pt idx="17">
                  <c:v>3341</c:v>
                </c:pt>
                <c:pt idx="18">
                  <c:v>2993</c:v>
                </c:pt>
                <c:pt idx="19">
                  <c:v>1585</c:v>
                </c:pt>
                <c:pt idx="20">
                  <c:v>1498</c:v>
                </c:pt>
                <c:pt idx="21">
                  <c:v>3006</c:v>
                </c:pt>
                <c:pt idx="22">
                  <c:v>2005</c:v>
                </c:pt>
                <c:pt idx="23">
                  <c:v>1127</c:v>
                </c:pt>
                <c:pt idx="24">
                  <c:v>613.20000000000005</c:v>
                </c:pt>
              </c:numCache>
            </c:numRef>
          </c:yVal>
          <c:smooth val="0"/>
          <c:extLst>
            <c:ext xmlns:c16="http://schemas.microsoft.com/office/drawing/2014/chart" uri="{C3380CC4-5D6E-409C-BE32-E72D297353CC}">
              <c16:uniqueId val="{00000002-1C0B-4317-BECF-8ACC1B4265CF}"/>
            </c:ext>
          </c:extLst>
        </c:ser>
        <c:dLbls>
          <c:showLegendKey val="0"/>
          <c:showVal val="0"/>
          <c:showCatName val="0"/>
          <c:showSerName val="0"/>
          <c:showPercent val="0"/>
          <c:showBubbleSize val="0"/>
        </c:dLbls>
        <c:axId val="854085400"/>
        <c:axId val="854085040"/>
      </c:scatterChart>
      <c:valAx>
        <c:axId val="254687632"/>
        <c:scaling>
          <c:orientation val="minMax"/>
          <c:max val="2023"/>
          <c:min val="1998"/>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crossAx val="254489888"/>
        <c:crosses val="autoZero"/>
        <c:crossBetween val="midCat"/>
      </c:valAx>
      <c:valAx>
        <c:axId val="254489888"/>
        <c:scaling>
          <c:orientation val="minMax"/>
          <c:max val="8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r>
                  <a:rPr lang="en-US"/>
                  <a:t>Mean MUCW (ft)</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crossAx val="254687632"/>
        <c:crosses val="autoZero"/>
        <c:crossBetween val="midCat"/>
      </c:valAx>
      <c:valAx>
        <c:axId val="854085040"/>
        <c:scaling>
          <c:orientation val="minMax"/>
          <c:max val="8000"/>
        </c:scaling>
        <c:delete val="0"/>
        <c:axPos val="r"/>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r>
                  <a:rPr lang="en-US"/>
                  <a:t>Mean Annual Discharge (cfs)</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crossAx val="854085400"/>
        <c:crosses val="max"/>
        <c:crossBetween val="midCat"/>
      </c:valAx>
      <c:valAx>
        <c:axId val="854085400"/>
        <c:scaling>
          <c:orientation val="minMax"/>
        </c:scaling>
        <c:delete val="1"/>
        <c:axPos val="b"/>
        <c:numFmt formatCode="General" sourceLinked="1"/>
        <c:majorTickMark val="out"/>
        <c:minorTickMark val="none"/>
        <c:tickLblPos val="nextTo"/>
        <c:crossAx val="854085040"/>
        <c:crosses val="autoZero"/>
        <c:crossBetween val="midCat"/>
      </c:valAx>
      <c:spPr>
        <a:noFill/>
        <a:ln>
          <a:noFill/>
        </a:ln>
        <a:effectLst/>
      </c:spPr>
    </c:plotArea>
    <c:legend>
      <c:legendPos val="r"/>
      <c:layout>
        <c:manualLayout>
          <c:xMode val="edge"/>
          <c:yMode val="edge"/>
          <c:x val="2.8146136452704421E-2"/>
          <c:y val="0.90093187095321603"/>
          <c:w val="0.95854813625242774"/>
          <c:h val="9.9068129046783929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latin typeface="+mn-lt"/>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Spring</c:v>
          </c:tx>
          <c:spPr>
            <a:ln w="25400" cap="rnd">
              <a:solidFill>
                <a:schemeClr val="accent1"/>
              </a:solidFill>
              <a:prstDash val="solid"/>
              <a:round/>
            </a:ln>
            <a:effectLst/>
          </c:spPr>
          <c:marker>
            <c:symbol val="square"/>
            <c:size val="7"/>
            <c:spPr>
              <a:solidFill>
                <a:srgbClr val="0070C0"/>
              </a:solidFill>
              <a:ln w="9525">
                <a:solidFill>
                  <a:srgbClr val="0070C0"/>
                </a:solidFill>
              </a:ln>
              <a:effectLst/>
            </c:spPr>
          </c:marker>
          <c:xVal>
            <c:numRef>
              <c:f>spring_fall!$A$3:$A$19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spring_fall!$C$3:$C$19</c:f>
              <c:numCache>
                <c:formatCode>General</c:formatCode>
                <c:ptCount val="17"/>
                <c:pt idx="0">
                  <c:v>3.7999999999999999E-2</c:v>
                </c:pt>
                <c:pt idx="1">
                  <c:v>1.0999999999999999E-2</c:v>
                </c:pt>
                <c:pt idx="2">
                  <c:v>2.1999999999999999E-2</c:v>
                </c:pt>
                <c:pt idx="3">
                  <c:v>3.7999999999999999E-2</c:v>
                </c:pt>
                <c:pt idx="4">
                  <c:v>0.14499999999999999</c:v>
                </c:pt>
                <c:pt idx="5">
                  <c:v>7.0999999999999994E-2</c:v>
                </c:pt>
                <c:pt idx="6">
                  <c:v>7.0000000000000007E-2</c:v>
                </c:pt>
                <c:pt idx="7">
                  <c:v>0.125</c:v>
                </c:pt>
                <c:pt idx="8">
                  <c:v>1.6233766E-2</c:v>
                </c:pt>
                <c:pt idx="9">
                  <c:v>7.1274298E-2</c:v>
                </c:pt>
                <c:pt idx="10">
                  <c:v>0.132924335</c:v>
                </c:pt>
                <c:pt idx="11">
                  <c:v>0.2</c:v>
                </c:pt>
                <c:pt idx="12">
                  <c:v>1.7857142999999999E-2</c:v>
                </c:pt>
                <c:pt idx="13">
                  <c:v>2.3715415E-2</c:v>
                </c:pt>
                <c:pt idx="14">
                  <c:v>1.1857708E-2</c:v>
                </c:pt>
                <c:pt idx="15">
                  <c:v>6.0773480999999997E-2</c:v>
                </c:pt>
                <c:pt idx="16">
                  <c:v>0.106343284</c:v>
                </c:pt>
              </c:numCache>
            </c:numRef>
          </c:yVal>
          <c:smooth val="0"/>
          <c:extLst>
            <c:ext xmlns:c16="http://schemas.microsoft.com/office/drawing/2014/chart" uri="{C3380CC4-5D6E-409C-BE32-E72D297353CC}">
              <c16:uniqueId val="{00000000-D903-4CF1-A735-D85B73568403}"/>
            </c:ext>
          </c:extLst>
        </c:ser>
        <c:ser>
          <c:idx val="1"/>
          <c:order val="1"/>
          <c:tx>
            <c:v>Fall</c:v>
          </c:tx>
          <c:spPr>
            <a:ln w="25400" cap="rnd">
              <a:solidFill>
                <a:srgbClr val="FFC000"/>
              </a:solidFill>
              <a:prstDash val="solid"/>
              <a:round/>
            </a:ln>
            <a:effectLst/>
          </c:spPr>
          <c:marker>
            <c:symbol val="x"/>
            <c:size val="7"/>
            <c:spPr>
              <a:solidFill>
                <a:srgbClr val="FFC000"/>
              </a:solidFill>
              <a:ln w="9525">
                <a:solidFill>
                  <a:srgbClr val="FFC000"/>
                </a:solidFill>
              </a:ln>
              <a:effectLst/>
            </c:spPr>
          </c:marker>
          <c:xVal>
            <c:numRef>
              <c:f>spring_fall!$A$3:$A$19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spring_fall!$G$3:$G$19</c:f>
              <c:numCache>
                <c:formatCode>General</c:formatCode>
                <c:ptCount val="17"/>
                <c:pt idx="0">
                  <c:v>4.2194092827004218E-2</c:v>
                </c:pt>
                <c:pt idx="1">
                  <c:v>7.5187969924812026E-2</c:v>
                </c:pt>
                <c:pt idx="2">
                  <c:v>4.4444444444444446E-2</c:v>
                </c:pt>
                <c:pt idx="3">
                  <c:v>5.6818181818181816E-2</c:v>
                </c:pt>
                <c:pt idx="4">
                  <c:v>2.1201413427561839E-2</c:v>
                </c:pt>
                <c:pt idx="5">
                  <c:v>2.3622047244094488E-2</c:v>
                </c:pt>
                <c:pt idx="6">
                  <c:v>1.1673151750972763E-2</c:v>
                </c:pt>
                <c:pt idx="7">
                  <c:v>1.6447368421052631E-2</c:v>
                </c:pt>
                <c:pt idx="8">
                  <c:v>5.1948051948051951E-2</c:v>
                </c:pt>
                <c:pt idx="9">
                  <c:v>5.183585313174946E-2</c:v>
                </c:pt>
                <c:pt idx="10">
                  <c:v>4.7034764826175871E-2</c:v>
                </c:pt>
                <c:pt idx="11">
                  <c:v>4.1584158415841586E-2</c:v>
                </c:pt>
                <c:pt idx="12">
                  <c:v>8.7301587301587297E-2</c:v>
                </c:pt>
                <c:pt idx="13">
                  <c:v>5.9288537549407111E-3</c:v>
                </c:pt>
                <c:pt idx="14">
                  <c:v>0.17391304347826086</c:v>
                </c:pt>
                <c:pt idx="15">
                  <c:v>1.1049723756906077E-2</c:v>
                </c:pt>
                <c:pt idx="16">
                  <c:v>8.0223880597014921E-2</c:v>
                </c:pt>
              </c:numCache>
            </c:numRef>
          </c:yVal>
          <c:smooth val="0"/>
          <c:extLst>
            <c:ext xmlns:c16="http://schemas.microsoft.com/office/drawing/2014/chart" uri="{C3380CC4-5D6E-409C-BE32-E72D297353CC}">
              <c16:uniqueId val="{00000001-D903-4CF1-A735-D85B73568403}"/>
            </c:ext>
          </c:extLst>
        </c:ser>
        <c:dLbls>
          <c:showLegendKey val="0"/>
          <c:showVal val="0"/>
          <c:showCatName val="0"/>
          <c:showSerName val="0"/>
          <c:showPercent val="0"/>
          <c:showBubbleSize val="0"/>
        </c:dLbls>
        <c:axId val="1658142079"/>
        <c:axId val="581924575"/>
      </c:scatterChart>
      <c:valAx>
        <c:axId val="1658142079"/>
        <c:scaling>
          <c:orientation val="minMax"/>
          <c:max val="2023"/>
          <c:min val="2007"/>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b="1"/>
                  <a:t>Year</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581924575"/>
        <c:crosses val="autoZero"/>
        <c:crossBetween val="midCat"/>
      </c:valAx>
      <c:valAx>
        <c:axId val="581924575"/>
        <c:scaling>
          <c:orientation val="minMax"/>
          <c:max val="0.2"/>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b="1"/>
                  <a:t>Adjusted proportion of population</a:t>
                </a:r>
              </a:p>
            </c:rich>
          </c:tx>
          <c:layout>
            <c:manualLayout>
              <c:xMode val="edge"/>
              <c:yMode val="edge"/>
              <c:x val="1.0563967965542769E-2"/>
              <c:y val="0.10841951966035596"/>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1658142079"/>
        <c:crosses val="autoZero"/>
        <c:crossBetween val="midCat"/>
        <c:majorUnit val="2.0000000000000004E-2"/>
      </c:valAx>
      <c:spPr>
        <a:noFill/>
        <a:ln>
          <a:noFill/>
        </a:ln>
        <a:effectLst/>
      </c:spPr>
    </c:plotArea>
    <c:legend>
      <c:legendPos val="r"/>
      <c:layout>
        <c:manualLayout>
          <c:xMode val="edge"/>
          <c:yMode val="edge"/>
          <c:x val="0.16027585052029822"/>
          <c:y val="7.2333723522302065E-2"/>
          <c:w val="0.16854642749504462"/>
          <c:h val="0.14054164930871563"/>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mn-lt"/>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Spring</c:v>
          </c:tx>
          <c:spPr>
            <a:ln w="25400" cap="rnd">
              <a:solidFill>
                <a:srgbClr val="0070C0"/>
              </a:solidFill>
              <a:round/>
            </a:ln>
            <a:effectLst/>
          </c:spPr>
          <c:marker>
            <c:symbol val="circle"/>
            <c:size val="7"/>
            <c:spPr>
              <a:solidFill>
                <a:srgbClr val="0070C0"/>
              </a:solidFill>
              <a:ln w="9525">
                <a:solidFill>
                  <a:srgbClr val="0070C0"/>
                </a:solidFill>
              </a:ln>
              <a:effectLst/>
            </c:spPr>
          </c:marker>
          <c:xVal>
            <c:numRef>
              <c:f>spring_fall!$A$3:$A$19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spring_fall!$B$3:$B$19</c:f>
              <c:numCache>
                <c:formatCode>General</c:formatCode>
                <c:ptCount val="17"/>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numCache>
            </c:numRef>
          </c:yVal>
          <c:smooth val="0"/>
          <c:extLst>
            <c:ext xmlns:c16="http://schemas.microsoft.com/office/drawing/2014/chart" uri="{C3380CC4-5D6E-409C-BE32-E72D297353CC}">
              <c16:uniqueId val="{00000000-E7BA-4634-A633-70132CA63A7D}"/>
            </c:ext>
          </c:extLst>
        </c:ser>
        <c:ser>
          <c:idx val="1"/>
          <c:order val="1"/>
          <c:tx>
            <c:v>Fall</c:v>
          </c:tx>
          <c:spPr>
            <a:ln w="25400" cap="rnd">
              <a:solidFill>
                <a:srgbClr val="FFC000"/>
              </a:solidFill>
              <a:round/>
            </a:ln>
            <a:effectLst/>
          </c:spPr>
          <c:marker>
            <c:symbol val="circle"/>
            <c:size val="7"/>
            <c:spPr>
              <a:solidFill>
                <a:srgbClr val="FFC000"/>
              </a:solidFill>
              <a:ln w="9525">
                <a:solidFill>
                  <a:srgbClr val="FFC000"/>
                </a:solidFill>
              </a:ln>
              <a:effectLst/>
            </c:spPr>
          </c:marker>
          <c:xVal>
            <c:numRef>
              <c:f>spring_fall!$A$3:$A$19</c:f>
              <c:numCache>
                <c:formatCode>General</c:formatCode>
                <c:ptCount val="17"/>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numCache>
            </c:numRef>
          </c:xVal>
          <c:yVal>
            <c:numRef>
              <c:f>spring_fall!$F$3:$F$19</c:f>
              <c:numCache>
                <c:formatCode>General</c:formatCode>
                <c:ptCount val="17"/>
                <c:pt idx="0">
                  <c:v>23</c:v>
                </c:pt>
                <c:pt idx="1">
                  <c:v>42</c:v>
                </c:pt>
                <c:pt idx="2">
                  <c:v>37</c:v>
                </c:pt>
                <c:pt idx="3">
                  <c:v>32</c:v>
                </c:pt>
                <c:pt idx="4">
                  <c:v>12</c:v>
                </c:pt>
                <c:pt idx="5">
                  <c:v>29</c:v>
                </c:pt>
                <c:pt idx="6">
                  <c:v>8</c:v>
                </c:pt>
                <c:pt idx="7">
                  <c:v>10</c:v>
                </c:pt>
                <c:pt idx="8">
                  <c:v>41</c:v>
                </c:pt>
                <c:pt idx="9">
                  <c:v>53</c:v>
                </c:pt>
                <c:pt idx="10">
                  <c:v>173</c:v>
                </c:pt>
                <c:pt idx="11">
                  <c:v>90</c:v>
                </c:pt>
                <c:pt idx="12">
                  <c:v>116</c:v>
                </c:pt>
                <c:pt idx="13">
                  <c:v>34</c:v>
                </c:pt>
                <c:pt idx="14">
                  <c:v>519</c:v>
                </c:pt>
                <c:pt idx="15">
                  <c:v>12</c:v>
                </c:pt>
                <c:pt idx="16">
                  <c:v>427</c:v>
                </c:pt>
              </c:numCache>
            </c:numRef>
          </c:yVal>
          <c:smooth val="0"/>
          <c:extLst>
            <c:ext xmlns:c16="http://schemas.microsoft.com/office/drawing/2014/chart" uri="{C3380CC4-5D6E-409C-BE32-E72D297353CC}">
              <c16:uniqueId val="{00000001-E7BA-4634-A633-70132CA63A7D}"/>
            </c:ext>
          </c:extLst>
        </c:ser>
        <c:dLbls>
          <c:showLegendKey val="0"/>
          <c:showVal val="0"/>
          <c:showCatName val="0"/>
          <c:showSerName val="0"/>
          <c:showPercent val="0"/>
          <c:showBubbleSize val="0"/>
        </c:dLbls>
        <c:axId val="1658142079"/>
        <c:axId val="581924575"/>
      </c:scatterChart>
      <c:valAx>
        <c:axId val="1658142079"/>
        <c:scaling>
          <c:orientation val="minMax"/>
          <c:max val="2023"/>
          <c:min val="2007"/>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b="1"/>
                  <a:t>Year</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581924575"/>
        <c:crosses val="autoZero"/>
        <c:crossBetween val="midCat"/>
      </c:valAx>
      <c:valAx>
        <c:axId val="581924575"/>
        <c:scaling>
          <c:orientation val="minMax"/>
          <c:max val="550"/>
        </c:scaling>
        <c:delete val="0"/>
        <c:axPos val="l"/>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b="1"/>
                  <a:t>Adjusted number of crane use days</a:t>
                </a:r>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1658142079"/>
        <c:crosses val="autoZero"/>
        <c:crossBetween val="midCat"/>
        <c:majorUnit val="50"/>
      </c:valAx>
      <c:spPr>
        <a:noFill/>
        <a:ln>
          <a:noFill/>
        </a:ln>
        <a:effectLst/>
      </c:spPr>
    </c:plotArea>
    <c:legend>
      <c:legendPos val="r"/>
      <c:layout>
        <c:manualLayout>
          <c:xMode val="edge"/>
          <c:yMode val="edge"/>
          <c:x val="0.18378020055185409"/>
          <c:y val="7.2333767077761651E-2"/>
          <c:w val="0.120779041744705"/>
          <c:h val="0.12442128527789348"/>
        </c:manualLayout>
      </c:layout>
      <c:overlay val="1"/>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mn-lt"/>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DB51DE-7D90-413A-9278-63A5FE472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5017</TotalTime>
  <Pages>45</Pages>
  <Words>11334</Words>
  <Characters>64609</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Chadwin Smith</dc:creator>
  <cp:keywords/>
  <dc:description/>
  <cp:lastModifiedBy>Chadwin Smith</cp:lastModifiedBy>
  <cp:revision>286</cp:revision>
  <cp:lastPrinted>2024-01-25T21:44:00Z</cp:lastPrinted>
  <dcterms:created xsi:type="dcterms:W3CDTF">2024-01-11T17:57:00Z</dcterms:created>
  <dcterms:modified xsi:type="dcterms:W3CDTF">2024-02-02T20:11:00Z</dcterms:modified>
</cp:coreProperties>
</file>